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E03E52" w:rsidRDefault="00593D6A">
                <w:pPr>
                  <w:bidi w:val="0"/>
                  <w:jc w:val="right"/>
                  <w:rPr>
                    <w:rFonts w:ascii="Arial" w:hAnsi="Arial"/>
                    <w:b/>
                    <w:bCs/>
                    <w:noProof w:val="0"/>
                    <w:sz w:val="26"/>
                    <w:szCs w:val="26"/>
                    <w:rtl/>
                  </w:rPr>
                </w:pPr>
                <w:r>
                  <w:rPr>
                    <w:rFonts w:ascii="Arial" w:hAnsi="Arial"/>
                    <w:b/>
                    <w:bCs/>
                    <w:noProof w:val="0"/>
                    <w:sz w:val="26"/>
                    <w:szCs w:val="26"/>
                    <w:rtl/>
                  </w:rPr>
                  <w:t>תובעים</w:t>
                </w:r>
                <w:r w:rsidR="003262E1">
                  <w:rPr>
                    <w:rFonts w:ascii="Arial" w:hAnsi="Arial"/>
                    <w:b/>
                    <w:bCs/>
                    <w:noProof w:val="0"/>
                    <w:sz w:val="26"/>
                    <w:szCs w:val="26"/>
                    <w:rtl/>
                  </w:rPr>
                  <w:br/>
                </w:r>
                <w:r w:rsidR="003262E1">
                  <w:rPr>
                    <w:rFonts w:hint="cs"/>
                    <w:rtl/>
                  </w:rPr>
                  <w:t>המבקשים</w:t>
                </w:r>
              </w:p>
            </w:sdtContent>
          </w:sdt>
        </w:tc>
        <w:tc>
          <w:tcPr>
            <w:tcW w:w="5571" w:type="dxa"/>
          </w:tcPr>
          <w:p w:rsidR="002914D6" w:rsidRDefault="002914D6">
            <w:pPr>
              <w:rPr>
                <w:rFonts w:ascii="Arial" w:hAnsi="Arial"/>
                <w:b/>
                <w:bCs/>
                <w:noProof w:val="0"/>
                <w:sz w:val="26"/>
                <w:szCs w:val="26"/>
              </w:rPr>
            </w:pPr>
          </w:p>
          <w:p w:rsidR="002914D6" w:rsidRDefault="00866432" w:rsidP="00A84EEB">
            <w:pPr>
              <w:rPr>
                <w:b/>
                <w:bCs/>
                <w:noProof w:val="0"/>
                <w:sz w:val="26"/>
                <w:szCs w:val="26"/>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sdt>
              <w:sdtPr>
                <w:rPr>
                  <w:b/>
                  <w:bCs/>
                  <w:rtl/>
                </w:rPr>
                <w:alias w:val="1478"/>
                <w:tag w:val="1478"/>
                <w:id w:val="-2019765730"/>
                <w:text w:multiLine="1"/>
              </w:sdtPr>
              <w:sdtEndPr/>
              <w:sdtContent>
                <w:r w:rsidR="00A84EEB">
                  <w:rPr>
                    <w:rFonts w:hint="cs"/>
                    <w:b/>
                    <w:bCs/>
                    <w:rtl/>
                  </w:rPr>
                  <w:t>האח</w:t>
                </w:r>
                <w:r w:rsidR="00A84EEB">
                  <w:rPr>
                    <w:b/>
                    <w:bCs/>
                    <w:rtl/>
                  </w:rPr>
                  <w:br/>
                </w:r>
                <w:r w:rsidR="003262E1" w:rsidRPr="003262E1">
                  <w:rPr>
                    <w:rFonts w:ascii="Arial" w:hAnsi="Arial" w:hint="cs"/>
                    <w:b/>
                    <w:bCs/>
                    <w:noProof w:val="0"/>
                    <w:sz w:val="26"/>
                    <w:szCs w:val="26"/>
                    <w:rtl/>
                  </w:rPr>
                  <w:t xml:space="preserve">2. </w:t>
                </w:r>
                <w:r w:rsidR="00A84EEB">
                  <w:rPr>
                    <w:rFonts w:ascii="Arial" w:hAnsi="Arial" w:hint="cs"/>
                    <w:b/>
                    <w:bCs/>
                    <w:noProof w:val="0"/>
                    <w:sz w:val="26"/>
                    <w:szCs w:val="26"/>
                    <w:rtl/>
                  </w:rPr>
                  <w:t>האחות</w:t>
                </w:r>
              </w:sdtContent>
            </w:sdt>
            <w:r w:rsidR="00A84EEB">
              <w:rPr>
                <w:rFonts w:ascii="Arial" w:hAnsi="Arial" w:hint="cs"/>
                <w:b/>
                <w:bCs/>
                <w:noProof w:val="0"/>
                <w:sz w:val="26"/>
                <w:szCs w:val="26"/>
                <w:rtl/>
              </w:rPr>
              <w:t xml:space="preserve"> </w:t>
            </w:r>
            <w:sdt>
              <w:sdtPr>
                <w:rPr>
                  <w:rtl/>
                </w:rPr>
                <w:alias w:val="2316"/>
                <w:tag w:val="2316"/>
                <w:id w:val="-119842878"/>
                <w:text w:multiLine="1"/>
              </w:sdtPr>
              <w:sdtEndPr/>
              <w:sdtContent>
                <w:r w:rsidR="003262E1">
                  <w:rPr>
                    <w:rtl/>
                  </w:rPr>
                  <w:br/>
                </w:r>
                <w:r w:rsidR="003262E1">
                  <w:rPr>
                    <w:rFonts w:hint="cs"/>
                    <w:rtl/>
                  </w:rPr>
                  <w:t xml:space="preserve">   שניהם על ידי ב"כ עו"ד מוחמד שלבי</w:t>
                </w:r>
                <w:r w:rsidR="003262E1">
                  <w:rPr>
                    <w:rtl/>
                  </w:rPr>
                  <w:br/>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866432">
            <w:pPr>
              <w:rPr>
                <w:rFonts w:ascii="Arial" w:hAnsi="Arial"/>
                <w:b/>
                <w:bCs/>
                <w:noProof w:val="0"/>
                <w:sz w:val="26"/>
                <w:szCs w:val="26"/>
              </w:rPr>
            </w:pPr>
            <w:sdt>
              <w:sdtPr>
                <w:rPr>
                  <w:rtl/>
                </w:rPr>
                <w:alias w:val="1184"/>
                <w:tag w:val="1184"/>
                <w:id w:val="385841288"/>
                <w:text w:multiLine="1"/>
              </w:sdtPr>
              <w:sdtEndPr/>
              <w:sdtContent>
                <w:r w:rsidR="003262E1">
                  <w:rPr>
                    <w:rFonts w:ascii="Arial" w:hAnsi="Arial"/>
                    <w:b/>
                    <w:bCs/>
                    <w:noProof w:val="0"/>
                    <w:sz w:val="26"/>
                    <w:szCs w:val="26"/>
                    <w:rtl/>
                  </w:rPr>
                  <w:t>נתבע</w:t>
                </w:r>
                <w:r w:rsidR="003262E1">
                  <w:rPr>
                    <w:rFonts w:ascii="Arial" w:hAnsi="Arial"/>
                    <w:b/>
                    <w:bCs/>
                    <w:noProof w:val="0"/>
                    <w:sz w:val="26"/>
                    <w:szCs w:val="26"/>
                    <w:rtl/>
                  </w:rPr>
                  <w:br/>
                </w:r>
                <w:r w:rsidR="003262E1">
                  <w:rPr>
                    <w:rFonts w:hint="cs"/>
                    <w:rtl/>
                  </w:rPr>
                  <w:t>המשיב</w:t>
                </w:r>
              </w:sdtContent>
            </w:sdt>
          </w:p>
        </w:tc>
        <w:tc>
          <w:tcPr>
            <w:tcW w:w="5571" w:type="dxa"/>
          </w:tcPr>
          <w:p w:rsidR="002914D6" w:rsidRDefault="002914D6">
            <w:pPr>
              <w:rPr>
                <w:rFonts w:ascii="Arial" w:hAnsi="Arial"/>
                <w:b/>
                <w:bCs/>
                <w:noProof w:val="0"/>
                <w:sz w:val="26"/>
                <w:szCs w:val="26"/>
                <w:rtl/>
              </w:rPr>
            </w:pPr>
          </w:p>
          <w:p w:rsidR="002914D6" w:rsidRDefault="00866432" w:rsidP="00A84EEB">
            <w:pPr>
              <w:rPr>
                <w:b/>
                <w:bCs/>
                <w:noProof w:val="0"/>
                <w:sz w:val="26"/>
                <w:szCs w:val="26"/>
                <w:rtl/>
              </w:rPr>
            </w:pPr>
            <w:sdt>
              <w:sdtPr>
                <w:rPr>
                  <w:rtl/>
                </w:rPr>
                <w:alias w:val="1571"/>
                <w:tag w:val="1571"/>
                <w:id w:val="1119420712"/>
                <w:showingPlcHdr/>
                <w:text w:multiLine="1"/>
              </w:sdtPr>
              <w:sdtEndPr/>
              <w:sdtContent>
                <w:r w:rsidR="003262E1">
                  <w:rPr>
                    <w:rtl/>
                  </w:rPr>
                  <w:t xml:space="preserve">     </w:t>
                </w:r>
              </w:sdtContent>
            </w:sdt>
            <w:r w:rsidR="00011212">
              <w:rPr>
                <w:rFonts w:ascii="Arial" w:hAnsi="Arial"/>
                <w:b/>
                <w:bCs/>
                <w:noProof w:val="0"/>
                <w:sz w:val="26"/>
                <w:szCs w:val="26"/>
                <w:rtl/>
              </w:rPr>
              <w:t xml:space="preserve"> </w:t>
            </w:r>
            <w:r w:rsidR="00A84EEB">
              <w:rPr>
                <w:rFonts w:ascii="Arial" w:hAnsi="Arial" w:hint="cs"/>
                <w:b/>
                <w:bCs/>
                <w:noProof w:val="0"/>
                <w:sz w:val="26"/>
                <w:szCs w:val="26"/>
                <w:rtl/>
              </w:rPr>
              <w:t>האחות</w:t>
            </w:r>
            <w:sdt>
              <w:sdtPr>
                <w:rPr>
                  <w:rtl/>
                </w:rPr>
                <w:alias w:val="2318"/>
                <w:tag w:val="2318"/>
                <w:id w:val="-282733546"/>
                <w:text w:multiLine="1"/>
              </w:sdtPr>
              <w:sdtEndPr/>
              <w:sdtContent>
                <w:r w:rsidR="003262E1">
                  <w:rPr>
                    <w:rFonts w:ascii="Arial" w:hAnsi="Arial"/>
                    <w:b/>
                    <w:bCs/>
                    <w:noProof w:val="0"/>
                    <w:sz w:val="26"/>
                    <w:szCs w:val="26"/>
                    <w:rtl/>
                  </w:rPr>
                  <w:br/>
                </w:r>
                <w:r w:rsidR="003262E1">
                  <w:rPr>
                    <w:rFonts w:hint="cs"/>
                    <w:rtl/>
                  </w:rPr>
                  <w:t xml:space="preserve">      על ידי ב"כ עו"ד אינאס חטיב</w:t>
                </w:r>
              </w:sdtContent>
            </w:sdt>
          </w:p>
        </w:tc>
      </w:tr>
      <w:tr w:rsidR="00DA714E" w:rsidTr="00020144">
        <w:tc>
          <w:tcPr>
            <w:tcW w:w="8820" w:type="dxa"/>
            <w:gridSpan w:val="3"/>
          </w:tcPr>
          <w:p w:rsidR="00E03E52" w:rsidRDefault="00E03E52">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3262E1" w:rsidRPr="003262E1" w:rsidRDefault="003262E1" w:rsidP="00A84EEB">
      <w:pPr>
        <w:spacing w:line="360" w:lineRule="auto"/>
        <w:jc w:val="both"/>
        <w:rPr>
          <w:rFonts w:ascii="David" w:hAnsi="David"/>
          <w:noProof w:val="0"/>
        </w:rPr>
      </w:pPr>
      <w:r w:rsidRPr="003262E1">
        <w:rPr>
          <w:rFonts w:ascii="David" w:hAnsi="David"/>
          <w:rtl/>
        </w:rPr>
        <w:t xml:space="preserve">לפני </w:t>
      </w:r>
      <w:r>
        <w:rPr>
          <w:rFonts w:ascii="David" w:hAnsi="David" w:hint="cs"/>
          <w:rtl/>
        </w:rPr>
        <w:t xml:space="preserve">עתירת </w:t>
      </w:r>
      <w:r w:rsidRPr="003262E1">
        <w:rPr>
          <w:rFonts w:ascii="David" w:hAnsi="David"/>
          <w:rtl/>
        </w:rPr>
        <w:t xml:space="preserve">המבקשים לתן </w:t>
      </w:r>
      <w:r>
        <w:rPr>
          <w:rFonts w:ascii="David" w:hAnsi="David" w:hint="cs"/>
          <w:rtl/>
        </w:rPr>
        <w:t xml:space="preserve">צו </w:t>
      </w:r>
      <w:r w:rsidRPr="003262E1">
        <w:rPr>
          <w:rFonts w:ascii="David" w:hAnsi="David"/>
          <w:rtl/>
        </w:rPr>
        <w:t>מניעה זמני</w:t>
      </w:r>
      <w:r>
        <w:rPr>
          <w:rFonts w:ascii="David" w:hAnsi="David" w:hint="cs"/>
          <w:rtl/>
        </w:rPr>
        <w:t>, כהגדרתו בבקשה,</w:t>
      </w:r>
      <w:r w:rsidRPr="003262E1">
        <w:rPr>
          <w:rFonts w:ascii="David" w:hAnsi="David"/>
          <w:rtl/>
        </w:rPr>
        <w:t xml:space="preserve"> האוסר על המשיבה, אחותם, להכנס או להשתמש בדירה המושכרת על ידי המבקש למבקשת, ברח'</w:t>
      </w:r>
      <w:r w:rsidR="00A84EEB">
        <w:rPr>
          <w:rFonts w:ascii="David" w:hAnsi="David" w:hint="cs"/>
          <w:rtl/>
        </w:rPr>
        <w:t xml:space="preserve"> ....</w:t>
      </w:r>
      <w:r>
        <w:rPr>
          <w:rFonts w:ascii="David" w:hAnsi="David" w:hint="cs"/>
          <w:rtl/>
        </w:rPr>
        <w:t xml:space="preserve"> (להלן: </w:t>
      </w:r>
      <w:r w:rsidRPr="003262E1">
        <w:rPr>
          <w:rFonts w:ascii="David" w:hAnsi="David" w:hint="cs"/>
          <w:b/>
          <w:bCs/>
          <w:rtl/>
        </w:rPr>
        <w:t>הדירה</w:t>
      </w:r>
      <w:r>
        <w:rPr>
          <w:rFonts w:ascii="David" w:hAnsi="David" w:hint="cs"/>
          <w:rtl/>
        </w:rPr>
        <w:t>)</w:t>
      </w:r>
      <w:r w:rsidRPr="003262E1">
        <w:rPr>
          <w:rFonts w:ascii="David" w:hAnsi="David"/>
          <w:rtl/>
        </w:rPr>
        <w:t xml:space="preserve">. </w:t>
      </w:r>
    </w:p>
    <w:p w:rsidR="003262E1" w:rsidRDefault="003262E1" w:rsidP="003262E1">
      <w:pPr>
        <w:spacing w:line="360" w:lineRule="auto"/>
        <w:jc w:val="both"/>
        <w:rPr>
          <w:rFonts w:ascii="David" w:hAnsi="David"/>
          <w:rtl/>
        </w:rPr>
      </w:pPr>
    </w:p>
    <w:p w:rsidR="003262E1" w:rsidRDefault="003262E1" w:rsidP="003262E1">
      <w:pPr>
        <w:spacing w:line="360" w:lineRule="auto"/>
        <w:jc w:val="both"/>
        <w:rPr>
          <w:rFonts w:ascii="David" w:hAnsi="David"/>
          <w:b/>
          <w:bCs/>
          <w:u w:val="single"/>
          <w:rtl/>
        </w:rPr>
      </w:pPr>
      <w:r>
        <w:rPr>
          <w:rFonts w:ascii="David" w:hAnsi="David"/>
          <w:b/>
          <w:bCs/>
          <w:u w:val="single"/>
          <w:rtl/>
        </w:rPr>
        <w:t>טענות המבקשים</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המבקשים טוענים כי המבקש הוא הבעלים של הדירה, בהתאם ליפוי כוח בלתי חוזר משנת 2016, שמהווה הסכם מכר לטענתם, והמחזיק הבלעדי בה</w:t>
      </w:r>
      <w:r>
        <w:rPr>
          <w:rFonts w:ascii="David" w:hAnsi="David" w:cs="David" w:hint="cs"/>
          <w:sz w:val="24"/>
          <w:szCs w:val="24"/>
          <w:rtl/>
        </w:rPr>
        <w:t>, וכי</w:t>
      </w:r>
      <w:r>
        <w:rPr>
          <w:rFonts w:ascii="David" w:hAnsi="David" w:cs="David"/>
          <w:sz w:val="24"/>
          <w:szCs w:val="24"/>
          <w:rtl/>
        </w:rPr>
        <w:t xml:space="preserve"> המבקשת שכרה מ</w:t>
      </w:r>
      <w:r>
        <w:rPr>
          <w:rFonts w:ascii="David" w:hAnsi="David" w:cs="David" w:hint="cs"/>
          <w:sz w:val="24"/>
          <w:szCs w:val="24"/>
          <w:rtl/>
        </w:rPr>
        <w:t xml:space="preserve">המבקש </w:t>
      </w:r>
      <w:r>
        <w:rPr>
          <w:rFonts w:ascii="David" w:hAnsi="David" w:cs="David"/>
          <w:sz w:val="24"/>
          <w:szCs w:val="24"/>
          <w:rtl/>
        </w:rPr>
        <w:t xml:space="preserve">מאז ינואר 2023 יחידת  מגורים שמצויה בתוך הדירה (להלן: </w:t>
      </w:r>
      <w:r>
        <w:rPr>
          <w:rFonts w:ascii="David" w:hAnsi="David" w:cs="David"/>
          <w:b/>
          <w:bCs/>
          <w:sz w:val="24"/>
          <w:szCs w:val="24"/>
          <w:rtl/>
        </w:rPr>
        <w:t>יחידת הדיור</w:t>
      </w:r>
      <w:r>
        <w:rPr>
          <w:rFonts w:ascii="David" w:hAnsi="David" w:cs="David"/>
          <w:sz w:val="24"/>
          <w:szCs w:val="24"/>
          <w:rtl/>
        </w:rPr>
        <w:t xml:space="preserve">), בהתאם להסכם שכירות ביניהם. </w:t>
      </w:r>
    </w:p>
    <w:p w:rsidR="003262E1" w:rsidRPr="003262E1"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sz w:val="24"/>
          <w:szCs w:val="24"/>
          <w:rtl/>
        </w:rPr>
      </w:pPr>
    </w:p>
    <w:p w:rsidR="003262E1" w:rsidRDefault="003262E1" w:rsidP="00C911DC">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המבקשים טוענים כי המשיבה פנתה אל המבקש לפני יותר משנה </w:t>
      </w:r>
      <w:r>
        <w:rPr>
          <w:rFonts w:ascii="David" w:hAnsi="David" w:cs="David" w:hint="cs"/>
          <w:sz w:val="24"/>
          <w:szCs w:val="24"/>
          <w:rtl/>
        </w:rPr>
        <w:t>ו</w:t>
      </w:r>
      <w:r>
        <w:rPr>
          <w:rFonts w:ascii="David" w:hAnsi="David" w:cs="David"/>
          <w:sz w:val="24"/>
          <w:szCs w:val="24"/>
          <w:rtl/>
        </w:rPr>
        <w:t>ציינה כי עקב בעיות משפחתיות ואישיות היא עזבה את ביתה</w:t>
      </w:r>
      <w:r>
        <w:rPr>
          <w:rFonts w:ascii="David" w:hAnsi="David" w:cs="David" w:hint="cs"/>
          <w:sz w:val="24"/>
          <w:szCs w:val="24"/>
          <w:rtl/>
        </w:rPr>
        <w:t>,</w:t>
      </w:r>
      <w:r>
        <w:rPr>
          <w:rFonts w:ascii="David" w:hAnsi="David" w:cs="David"/>
          <w:sz w:val="24"/>
          <w:szCs w:val="24"/>
          <w:rtl/>
        </w:rPr>
        <w:t xml:space="preserve"> ו</w:t>
      </w:r>
      <w:r>
        <w:rPr>
          <w:rFonts w:ascii="David" w:hAnsi="David" w:cs="David" w:hint="cs"/>
          <w:sz w:val="24"/>
          <w:szCs w:val="24"/>
          <w:rtl/>
        </w:rPr>
        <w:t xml:space="preserve">היא </w:t>
      </w:r>
      <w:r>
        <w:rPr>
          <w:rFonts w:ascii="David" w:hAnsi="David" w:cs="David"/>
          <w:sz w:val="24"/>
          <w:szCs w:val="24"/>
          <w:rtl/>
        </w:rPr>
        <w:t>מבקשת להתארח אצלו לתקופה זמנית. המבקש נעתר לכך שהמשיבה תעשה שימוש זמני בחדר צדדי עד להסדרת ענייניה. בחודש ספטמבר 2024 פקחים מטעם העיריה הודיעו למבקש כי החדר שבו גרה המשיבה אינו חוקי ועליו להורסו ולאחר שהודיע למשיבה על כך היא הסכימה לפנותו באופן מייידי והיא אכן עזבה את החדר בחודש ספטמבר 2024. ואולם, לאחר מכן (לא צוין מתי) המשיבה הגיעה במפתיע ליחידת המגורים ודרשה מהמבקשת ובנותיה לצאת מ</w:t>
      </w:r>
      <w:r w:rsidR="00C911DC">
        <w:rPr>
          <w:rFonts w:ascii="David" w:hAnsi="David" w:cs="David" w:hint="cs"/>
          <w:sz w:val="24"/>
          <w:szCs w:val="24"/>
          <w:rtl/>
        </w:rPr>
        <w:t>היחידה</w:t>
      </w:r>
      <w:r>
        <w:rPr>
          <w:rFonts w:ascii="David" w:hAnsi="David" w:cs="David"/>
          <w:sz w:val="24"/>
          <w:szCs w:val="24"/>
          <w:rtl/>
        </w:rPr>
        <w:t xml:space="preserve">, ואף הכתה את אשת </w:t>
      </w:r>
      <w:r>
        <w:rPr>
          <w:rFonts w:ascii="David" w:hAnsi="David" w:cs="David"/>
          <w:sz w:val="24"/>
          <w:szCs w:val="24"/>
          <w:rtl/>
        </w:rPr>
        <w:lastRenderedPageBreak/>
        <w:t>המבקש ובנות המבקשת ואיימה עליהן בסכין כי עליהן לצאת מהבית</w:t>
      </w:r>
      <w:r w:rsidR="00C911DC">
        <w:rPr>
          <w:rFonts w:ascii="David" w:hAnsi="David" w:cs="David" w:hint="cs"/>
          <w:sz w:val="24"/>
          <w:szCs w:val="24"/>
          <w:rtl/>
        </w:rPr>
        <w:t>, שאחרת יבולע להן</w:t>
      </w:r>
      <w:r>
        <w:rPr>
          <w:rFonts w:ascii="David" w:hAnsi="David" w:cs="David"/>
          <w:sz w:val="24"/>
          <w:szCs w:val="24"/>
          <w:rtl/>
        </w:rPr>
        <w:t>. המבקשים פנו למשטרה אך הופנו להגיש הליך לבית המשפט. המשיבה מסרבת לפניות המבקשים לפנות את היחידה ולהשיבה למבקשת.</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המבקשים עותרים למתן צו זמני שיורה </w:t>
      </w:r>
      <w:r w:rsidR="00C911DC">
        <w:rPr>
          <w:rFonts w:ascii="David" w:hAnsi="David" w:cs="David"/>
          <w:sz w:val="24"/>
          <w:szCs w:val="24"/>
          <w:rtl/>
        </w:rPr>
        <w:t>למשיבה לעזוב את יחידת המגורים</w:t>
      </w:r>
      <w:r w:rsidR="00C911DC">
        <w:rPr>
          <w:rFonts w:ascii="David" w:hAnsi="David" w:cs="David" w:hint="cs"/>
          <w:sz w:val="24"/>
          <w:szCs w:val="24"/>
          <w:rtl/>
        </w:rPr>
        <w:t>. הם טוענים כי בידם ראיות לכאורה מספיקות להוכחת תביעתם וכי מאזן הנוחות נוטה בירור לטובתם.</w:t>
      </w:r>
    </w:p>
    <w:p w:rsidR="003262E1" w:rsidRPr="00C911DC"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sz w:val="24"/>
          <w:szCs w:val="24"/>
          <w:rtl/>
        </w:rPr>
      </w:pPr>
    </w:p>
    <w:p w:rsidR="003262E1" w:rsidRDefault="003262E1" w:rsidP="003262E1">
      <w:pPr>
        <w:spacing w:line="360" w:lineRule="auto"/>
        <w:jc w:val="both"/>
        <w:rPr>
          <w:rFonts w:ascii="David" w:hAnsi="David"/>
          <w:b/>
          <w:bCs/>
          <w:u w:val="single"/>
          <w:rtl/>
        </w:rPr>
      </w:pPr>
      <w:r>
        <w:rPr>
          <w:rFonts w:ascii="David" w:hAnsi="David"/>
          <w:b/>
          <w:bCs/>
          <w:u w:val="single"/>
          <w:rtl/>
        </w:rPr>
        <w:t>תשובת המשיבה</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tl/>
        </w:rPr>
      </w:pPr>
      <w:r>
        <w:rPr>
          <w:rFonts w:ascii="David" w:hAnsi="David" w:cs="David"/>
          <w:sz w:val="24"/>
          <w:szCs w:val="24"/>
          <w:rtl/>
        </w:rPr>
        <w:t>המשיבה טוענת כי יש לדחות את הבקשה.</w:t>
      </w:r>
    </w:p>
    <w:p w:rsidR="003262E1" w:rsidRDefault="003262E1" w:rsidP="003262E1">
      <w:pPr>
        <w:pStyle w:val="ae"/>
        <w:spacing w:line="360" w:lineRule="auto"/>
        <w:jc w:val="both"/>
        <w:rPr>
          <w:rFonts w:ascii="David" w:hAnsi="David" w:cs="David"/>
          <w:sz w:val="24"/>
          <w:szCs w:val="24"/>
        </w:rPr>
      </w:pPr>
    </w:p>
    <w:p w:rsidR="003262E1" w:rsidRDefault="003262E1" w:rsidP="00C911DC">
      <w:pPr>
        <w:pStyle w:val="ae"/>
        <w:numPr>
          <w:ilvl w:val="0"/>
          <w:numId w:val="1"/>
        </w:numPr>
        <w:spacing w:line="360" w:lineRule="auto"/>
        <w:jc w:val="both"/>
        <w:rPr>
          <w:rFonts w:ascii="David" w:hAnsi="David" w:cs="David"/>
          <w:sz w:val="24"/>
          <w:szCs w:val="24"/>
        </w:rPr>
      </w:pPr>
      <w:r>
        <w:rPr>
          <w:rFonts w:ascii="David" w:hAnsi="David" w:cs="David"/>
          <w:sz w:val="24"/>
          <w:szCs w:val="24"/>
          <w:rtl/>
        </w:rPr>
        <w:t>לטענת המשיבה, המבקש אמנם בעלים של בית אשר לו צמודה יחידת דיור שבה גרה המבקשת, ואולם, יחידת דיור זו אינה בבעלו</w:t>
      </w:r>
      <w:r w:rsidR="00C911DC">
        <w:rPr>
          <w:rFonts w:ascii="David" w:hAnsi="David" w:cs="David"/>
          <w:sz w:val="24"/>
          <w:szCs w:val="24"/>
          <w:rtl/>
        </w:rPr>
        <w:t>תו של המבקש ואין לו זכות להשכיר</w:t>
      </w:r>
      <w:r w:rsidR="00C911DC">
        <w:rPr>
          <w:rFonts w:ascii="David" w:hAnsi="David" w:cs="David" w:hint="cs"/>
          <w:sz w:val="24"/>
          <w:szCs w:val="24"/>
          <w:rtl/>
        </w:rPr>
        <w:t>ה</w:t>
      </w:r>
      <w:r>
        <w:rPr>
          <w:rFonts w:ascii="David" w:hAnsi="David" w:cs="David"/>
          <w:sz w:val="24"/>
          <w:szCs w:val="24"/>
          <w:rtl/>
        </w:rPr>
        <w:t xml:space="preserve">. המשיבה טוענת כי היא </w:t>
      </w:r>
      <w:r w:rsidR="00C911DC">
        <w:rPr>
          <w:rFonts w:ascii="David" w:hAnsi="David" w:cs="David" w:hint="cs"/>
          <w:sz w:val="24"/>
          <w:szCs w:val="24"/>
          <w:rtl/>
        </w:rPr>
        <w:t xml:space="preserve">עצמה </w:t>
      </w:r>
      <w:r>
        <w:rPr>
          <w:rFonts w:ascii="David" w:hAnsi="David" w:cs="David"/>
          <w:sz w:val="24"/>
          <w:szCs w:val="24"/>
          <w:rtl/>
        </w:rPr>
        <w:t>גרה ביחידת</w:t>
      </w:r>
      <w:r w:rsidR="00C911DC">
        <w:rPr>
          <w:rFonts w:ascii="David" w:hAnsi="David" w:cs="David"/>
          <w:sz w:val="24"/>
          <w:szCs w:val="24"/>
          <w:rtl/>
        </w:rPr>
        <w:t xml:space="preserve"> </w:t>
      </w:r>
      <w:r w:rsidR="00C911DC">
        <w:rPr>
          <w:rFonts w:ascii="David" w:hAnsi="David" w:cs="David" w:hint="cs"/>
          <w:sz w:val="24"/>
          <w:szCs w:val="24"/>
          <w:rtl/>
        </w:rPr>
        <w:t>ד</w:t>
      </w:r>
      <w:r>
        <w:rPr>
          <w:rFonts w:ascii="David" w:hAnsi="David" w:cs="David"/>
          <w:sz w:val="24"/>
          <w:szCs w:val="24"/>
          <w:rtl/>
        </w:rPr>
        <w:t>יור נוספת שצמודה לבית המבקש, ואשר גם היא אינה בבעלות המבקש ואין לו זכות להשכירה. המשיבה טוענת כי היחידה שבה היא מתגוררת היא חלק מעזבון הורי הצדדים</w:t>
      </w:r>
      <w:r w:rsidR="00C911DC">
        <w:rPr>
          <w:rFonts w:ascii="David" w:hAnsi="David" w:cs="David" w:hint="cs"/>
          <w:sz w:val="24"/>
          <w:szCs w:val="24"/>
          <w:rtl/>
        </w:rPr>
        <w:t>,</w:t>
      </w:r>
      <w:r>
        <w:rPr>
          <w:rFonts w:ascii="David" w:hAnsi="David" w:cs="David"/>
          <w:sz w:val="24"/>
          <w:szCs w:val="24"/>
          <w:rtl/>
        </w:rPr>
        <w:t xml:space="preserve"> ש</w:t>
      </w:r>
      <w:r w:rsidR="00C911DC">
        <w:rPr>
          <w:rFonts w:ascii="David" w:hAnsi="David" w:cs="David" w:hint="cs"/>
          <w:sz w:val="24"/>
          <w:szCs w:val="24"/>
          <w:rtl/>
        </w:rPr>
        <w:t>נפל בחלקה,</w:t>
      </w:r>
      <w:r>
        <w:rPr>
          <w:rFonts w:ascii="David" w:hAnsi="David" w:cs="David"/>
          <w:sz w:val="24"/>
          <w:szCs w:val="24"/>
          <w:rtl/>
        </w:rPr>
        <w:t xml:space="preserve"> והיא גרה בה מאז לידתה. לטענתה, היא גרה ברציפות ביחידה משנת 2016</w:t>
      </w:r>
      <w:r w:rsidR="00C911DC">
        <w:rPr>
          <w:rFonts w:ascii="David" w:hAnsi="David" w:cs="David" w:hint="cs"/>
          <w:sz w:val="24"/>
          <w:szCs w:val="24"/>
          <w:rtl/>
        </w:rPr>
        <w:t>.</w:t>
      </w:r>
      <w:r w:rsidR="00C911DC">
        <w:rPr>
          <w:rFonts w:ascii="David" w:hAnsi="David" w:cs="David"/>
          <w:sz w:val="24"/>
          <w:szCs w:val="24"/>
          <w:rtl/>
        </w:rPr>
        <w:t xml:space="preserve"> </w:t>
      </w:r>
      <w:r>
        <w:rPr>
          <w:rFonts w:ascii="David" w:hAnsi="David" w:cs="David"/>
          <w:sz w:val="24"/>
          <w:szCs w:val="24"/>
          <w:rtl/>
        </w:rPr>
        <w:t xml:space="preserve">היחידה מעולם לא הושכרה וחוזה השכירות שצורף לבקשה הוא פיקטיבי. </w:t>
      </w:r>
      <w:r w:rsidR="00C911DC">
        <w:rPr>
          <w:rFonts w:ascii="David" w:hAnsi="David" w:cs="David" w:hint="cs"/>
          <w:sz w:val="24"/>
          <w:szCs w:val="24"/>
          <w:rtl/>
        </w:rPr>
        <w:t xml:space="preserve">נטען כי </w:t>
      </w:r>
      <w:r>
        <w:rPr>
          <w:rFonts w:ascii="David" w:hAnsi="David" w:cs="David"/>
          <w:sz w:val="24"/>
          <w:szCs w:val="24"/>
          <w:rtl/>
        </w:rPr>
        <w:t xml:space="preserve">גם יפוי הכוח הבלתי חוזר </w:t>
      </w:r>
      <w:r w:rsidR="00C911DC">
        <w:rPr>
          <w:rFonts w:ascii="David" w:hAnsi="David" w:cs="David" w:hint="cs"/>
          <w:sz w:val="24"/>
          <w:szCs w:val="24"/>
          <w:rtl/>
        </w:rPr>
        <w:t xml:space="preserve">הוא </w:t>
      </w:r>
      <w:r w:rsidR="00C911DC">
        <w:rPr>
          <w:rFonts w:ascii="David" w:hAnsi="David" w:cs="David"/>
          <w:sz w:val="24"/>
          <w:szCs w:val="24"/>
          <w:rtl/>
        </w:rPr>
        <w:t>מזו</w:t>
      </w:r>
      <w:r>
        <w:rPr>
          <w:rFonts w:ascii="David" w:hAnsi="David" w:cs="David"/>
          <w:sz w:val="24"/>
          <w:szCs w:val="24"/>
          <w:rtl/>
        </w:rPr>
        <w:t>יף.</w:t>
      </w:r>
    </w:p>
    <w:p w:rsidR="003262E1" w:rsidRPr="00C911DC"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tl/>
        </w:rPr>
      </w:pPr>
      <w:r>
        <w:rPr>
          <w:rFonts w:ascii="David" w:hAnsi="David" w:cs="David"/>
          <w:sz w:val="24"/>
          <w:szCs w:val="24"/>
          <w:rtl/>
        </w:rPr>
        <w:t>לטענת המשיבה, המבקשים מנסים זה כחודשיים לגרום לה לפנות את היחידה שבה היא גרה ובחודש ספטמבר 2024, כשהיא שהתה בחו"ל פלשה אליה המבקשת עם בנותיה. המשיבה מעולם לא הסכימה לפנות את היחידה.</w:t>
      </w:r>
    </w:p>
    <w:p w:rsidR="003262E1" w:rsidRDefault="003262E1" w:rsidP="003262E1">
      <w:pPr>
        <w:pStyle w:val="ae"/>
        <w:spacing w:line="360" w:lineRule="auto"/>
        <w:jc w:val="both"/>
        <w:rPr>
          <w:rFonts w:ascii="David" w:hAnsi="David" w:cs="David"/>
          <w:sz w:val="24"/>
          <w:szCs w:val="24"/>
        </w:rPr>
      </w:pPr>
    </w:p>
    <w:p w:rsidR="003262E1" w:rsidRDefault="003262E1" w:rsidP="00C911DC">
      <w:pPr>
        <w:pStyle w:val="ae"/>
        <w:numPr>
          <w:ilvl w:val="0"/>
          <w:numId w:val="1"/>
        </w:numPr>
        <w:spacing w:line="360" w:lineRule="auto"/>
        <w:jc w:val="both"/>
        <w:rPr>
          <w:rFonts w:ascii="David" w:hAnsi="David" w:cs="David"/>
          <w:sz w:val="24"/>
          <w:szCs w:val="24"/>
          <w:rtl/>
        </w:rPr>
      </w:pPr>
      <w:r>
        <w:rPr>
          <w:rFonts w:ascii="David" w:hAnsi="David" w:cs="David"/>
          <w:sz w:val="24"/>
          <w:szCs w:val="24"/>
          <w:rtl/>
        </w:rPr>
        <w:t>המשיבה מכחישה</w:t>
      </w:r>
      <w:r w:rsidR="00C911DC">
        <w:rPr>
          <w:rFonts w:ascii="David" w:hAnsi="David" w:cs="David"/>
          <w:sz w:val="24"/>
          <w:szCs w:val="24"/>
          <w:rtl/>
        </w:rPr>
        <w:t xml:space="preserve"> שימוש באלימות כלפי אשת המבקש ובנות </w:t>
      </w:r>
      <w:r w:rsidR="00C911DC">
        <w:rPr>
          <w:rFonts w:ascii="David" w:hAnsi="David" w:cs="David" w:hint="cs"/>
          <w:sz w:val="24"/>
          <w:szCs w:val="24"/>
          <w:rtl/>
        </w:rPr>
        <w:t>המבקשת,</w:t>
      </w:r>
      <w:r>
        <w:rPr>
          <w:rFonts w:ascii="David" w:hAnsi="David" w:cs="David"/>
          <w:sz w:val="24"/>
          <w:szCs w:val="24"/>
          <w:rtl/>
        </w:rPr>
        <w:t xml:space="preserve"> וטוענת כי המבקשת ובנותיה הן שתקפו אותה וק</w:t>
      </w:r>
      <w:r w:rsidR="00C911DC">
        <w:rPr>
          <w:rFonts w:ascii="David" w:hAnsi="David" w:cs="David"/>
          <w:sz w:val="24"/>
          <w:szCs w:val="24"/>
          <w:rtl/>
        </w:rPr>
        <w:t>יללו אותה וניסו להוציאה מהיחידה</w:t>
      </w:r>
      <w:r w:rsidR="00C911DC">
        <w:rPr>
          <w:rFonts w:ascii="David" w:hAnsi="David" w:cs="David" w:hint="cs"/>
          <w:sz w:val="24"/>
          <w:szCs w:val="24"/>
          <w:rtl/>
        </w:rPr>
        <w:t>, וכי</w:t>
      </w:r>
      <w:r>
        <w:rPr>
          <w:rFonts w:ascii="David" w:hAnsi="David" w:cs="David"/>
          <w:sz w:val="24"/>
          <w:szCs w:val="24"/>
          <w:rtl/>
        </w:rPr>
        <w:t xml:space="preserve"> היא זו שנחבלה. ה</w:t>
      </w:r>
      <w:r w:rsidR="00C911DC">
        <w:rPr>
          <w:rFonts w:ascii="David" w:hAnsi="David" w:cs="David"/>
          <w:sz w:val="24"/>
          <w:szCs w:val="24"/>
          <w:rtl/>
        </w:rPr>
        <w:t>וגשה בקשה לצו הגנה על ידי המבקש</w:t>
      </w:r>
      <w:r w:rsidR="00C911DC">
        <w:rPr>
          <w:rFonts w:ascii="David" w:hAnsi="David" w:cs="David" w:hint="cs"/>
          <w:sz w:val="24"/>
          <w:szCs w:val="24"/>
          <w:rtl/>
        </w:rPr>
        <w:t xml:space="preserve"> ושניים נוספים נגד המשיבה,</w:t>
      </w:r>
      <w:r>
        <w:rPr>
          <w:rFonts w:ascii="David" w:hAnsi="David" w:cs="David"/>
          <w:sz w:val="24"/>
          <w:szCs w:val="24"/>
          <w:rtl/>
        </w:rPr>
        <w:t xml:space="preserve"> אך בדיון במעמד שני הצדדים היא נמחקה משהתברר כי מדובר בבקשה שאין בה אמת והמבקשים</w:t>
      </w:r>
      <w:r w:rsidR="00C911DC">
        <w:rPr>
          <w:rFonts w:ascii="David" w:hAnsi="David" w:cs="David" w:hint="cs"/>
          <w:sz w:val="24"/>
          <w:szCs w:val="24"/>
          <w:rtl/>
        </w:rPr>
        <w:t xml:space="preserve"> שם</w:t>
      </w:r>
      <w:r>
        <w:rPr>
          <w:rFonts w:ascii="David" w:hAnsi="David" w:cs="David"/>
          <w:sz w:val="24"/>
          <w:szCs w:val="24"/>
          <w:rtl/>
        </w:rPr>
        <w:t xml:space="preserve"> אף חויבו ב-1,500 ₪ הוצאות משפט. המבקשים הסתירו בחוסר תום לב את הבקשה לצו הגנה.</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המשיבה טוענת כי המבקשים הסתירו גם את העובדה כי הם פעלו לקבלת צו ירושה מבית הדין השרעי בשנת 2021 לאחר שהעלימו ממנו את המשיבה כיורשת והמשיבה נאלצה להגיש בקשה לביטול הצו. </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המשיבה טוענת כי מאזן הנוחות נוטה לטובתה.</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3262E1" w:rsidRDefault="003262E1" w:rsidP="003262E1">
      <w:pPr>
        <w:pStyle w:val="ae"/>
        <w:spacing w:line="360" w:lineRule="auto"/>
        <w:jc w:val="both"/>
        <w:rPr>
          <w:rFonts w:ascii="David" w:hAnsi="David" w:cs="David"/>
          <w:sz w:val="24"/>
          <w:szCs w:val="24"/>
          <w:rtl/>
        </w:rPr>
      </w:pP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מצאתי כי דין הבקשה להדחות.</w:t>
      </w:r>
    </w:p>
    <w:p w:rsidR="003262E1" w:rsidRPr="00C911DC"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תקנה 95(א) לתקנות סדר הדין האזרחי, תשע"ט-2018 (להלן: </w:t>
      </w:r>
      <w:r>
        <w:rPr>
          <w:rFonts w:ascii="David" w:hAnsi="David" w:cs="David"/>
          <w:b/>
          <w:bCs/>
          <w:sz w:val="24"/>
          <w:szCs w:val="24"/>
          <w:rtl/>
        </w:rPr>
        <w:t>התקנות</w:t>
      </w:r>
      <w:r>
        <w:rPr>
          <w:rFonts w:ascii="David" w:hAnsi="David" w:cs="David"/>
          <w:sz w:val="24"/>
          <w:szCs w:val="24"/>
          <w:rtl/>
        </w:rPr>
        <w:t xml:space="preserve">) קובעת, כדלקמן: </w:t>
      </w:r>
    </w:p>
    <w:p w:rsidR="003262E1" w:rsidRDefault="003262E1" w:rsidP="003262E1">
      <w:pPr>
        <w:pStyle w:val="ae"/>
        <w:spacing w:after="120" w:line="360" w:lineRule="auto"/>
        <w:jc w:val="both"/>
        <w:rPr>
          <w:rFonts w:ascii="David" w:hAnsi="David" w:cs="David"/>
          <w:sz w:val="24"/>
          <w:szCs w:val="24"/>
        </w:rPr>
      </w:pPr>
    </w:p>
    <w:p w:rsidR="003262E1" w:rsidRDefault="003262E1" w:rsidP="003262E1">
      <w:pPr>
        <w:pStyle w:val="ae"/>
        <w:spacing w:after="120" w:line="360" w:lineRule="auto"/>
        <w:ind w:left="1360" w:right="567"/>
        <w:jc w:val="both"/>
        <w:rPr>
          <w:rFonts w:ascii="David" w:hAnsi="David" w:cs="David"/>
          <w:sz w:val="24"/>
          <w:szCs w:val="24"/>
          <w:rtl/>
        </w:rPr>
      </w:pPr>
      <w:r>
        <w:rPr>
          <w:rFonts w:ascii="David" w:hAnsi="David" w:cs="David"/>
          <w:sz w:val="24"/>
          <w:szCs w:val="24"/>
          <w:rtl/>
        </w:rPr>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r>
        <w:rPr>
          <w:rFonts w:ascii="David" w:hAnsi="David" w:cs="David"/>
          <w:sz w:val="24"/>
          <w:szCs w:val="24"/>
        </w:rPr>
        <w:t>"</w:t>
      </w:r>
    </w:p>
    <w:p w:rsidR="003262E1" w:rsidRDefault="003262E1" w:rsidP="003262E1">
      <w:pPr>
        <w:pStyle w:val="ae"/>
        <w:spacing w:after="120" w:line="360" w:lineRule="auto"/>
        <w:jc w:val="both"/>
        <w:rPr>
          <w:rFonts w:ascii="David" w:hAnsi="David" w:cs="David"/>
          <w:color w:val="000000"/>
          <w:sz w:val="24"/>
          <w:szCs w:val="24"/>
          <w:rtl/>
        </w:rPr>
      </w:pPr>
      <w:r>
        <w:rPr>
          <w:rFonts w:ascii="David" w:hAnsi="David" w:cs="David"/>
          <w:sz w:val="24"/>
          <w:szCs w:val="24"/>
          <w:rtl/>
        </w:rPr>
        <w:tab/>
      </w:r>
    </w:p>
    <w:p w:rsidR="003262E1" w:rsidRDefault="003262E1" w:rsidP="003262E1">
      <w:pPr>
        <w:pStyle w:val="ae"/>
        <w:spacing w:after="120" w:line="360" w:lineRule="auto"/>
        <w:jc w:val="both"/>
        <w:rPr>
          <w:rFonts w:ascii="David" w:hAnsi="David" w:cs="David"/>
          <w:color w:val="000000"/>
          <w:sz w:val="24"/>
          <w:szCs w:val="24"/>
          <w:rtl/>
        </w:rPr>
      </w:pPr>
    </w:p>
    <w:p w:rsidR="003262E1" w:rsidRDefault="003262E1" w:rsidP="003262E1">
      <w:pPr>
        <w:pStyle w:val="ae"/>
        <w:numPr>
          <w:ilvl w:val="0"/>
          <w:numId w:val="1"/>
        </w:numPr>
        <w:spacing w:after="120" w:line="360" w:lineRule="auto"/>
        <w:jc w:val="both"/>
        <w:rPr>
          <w:rFonts w:ascii="David" w:hAnsi="David" w:cs="David"/>
          <w:sz w:val="24"/>
          <w:szCs w:val="24"/>
          <w:rtl/>
        </w:rPr>
      </w:pPr>
      <w:r>
        <w:rPr>
          <w:rFonts w:ascii="David" w:hAnsi="David" w:cs="David"/>
          <w:sz w:val="24"/>
          <w:szCs w:val="24"/>
          <w:rtl/>
        </w:rPr>
        <w:t>תקנה 109 לתקנות מתייחסת לצו מניעה זמני וקובעת, כדלקמן:</w:t>
      </w:r>
    </w:p>
    <w:p w:rsidR="003262E1" w:rsidRDefault="003262E1" w:rsidP="003262E1">
      <w:pPr>
        <w:pStyle w:val="ae"/>
        <w:spacing w:after="120" w:line="360" w:lineRule="auto"/>
        <w:jc w:val="both"/>
        <w:rPr>
          <w:rFonts w:ascii="David" w:hAnsi="David" w:cs="David"/>
          <w:sz w:val="24"/>
          <w:szCs w:val="24"/>
          <w:rtl/>
        </w:rPr>
      </w:pPr>
    </w:p>
    <w:p w:rsidR="003262E1" w:rsidRDefault="003262E1" w:rsidP="003262E1">
      <w:pPr>
        <w:pStyle w:val="ae"/>
        <w:spacing w:after="120" w:line="360" w:lineRule="auto"/>
        <w:ind w:left="1643" w:right="567" w:hanging="141"/>
        <w:jc w:val="both"/>
        <w:rPr>
          <w:rFonts w:ascii="David" w:hAnsi="David" w:cs="David"/>
          <w:sz w:val="24"/>
          <w:szCs w:val="24"/>
        </w:rPr>
      </w:pPr>
      <w:r>
        <w:rPr>
          <w:rFonts w:ascii="David" w:hAnsi="David" w:cs="David"/>
          <w:sz w:val="24"/>
          <w:szCs w:val="24"/>
          <w:rtl/>
        </w:rPr>
        <w:t>"בית המשפט רשאי להורות למשיב להימנע מלעשות או להימנע מלהוסיף ולעשות, בעצמו או באמצעות מי מטעמו, פעולה כלשהי, אם שוכנע כי קיים חשש סביר שאי-מתן הצו יכביד באופן ממשי על ביצועו הראוי של פסק הדין"</w:t>
      </w:r>
      <w:r>
        <w:rPr>
          <w:rFonts w:ascii="David" w:hAnsi="David" w:cs="David"/>
          <w:sz w:val="24"/>
          <w:szCs w:val="24"/>
        </w:rPr>
        <w:t>.</w:t>
      </w:r>
    </w:p>
    <w:p w:rsidR="003262E1" w:rsidRDefault="003262E1" w:rsidP="003262E1">
      <w:pPr>
        <w:pStyle w:val="ae"/>
        <w:spacing w:after="120" w:line="360" w:lineRule="auto"/>
        <w:jc w:val="both"/>
        <w:rPr>
          <w:rFonts w:ascii="David" w:hAnsi="David" w:cs="David"/>
          <w:sz w:val="24"/>
          <w:szCs w:val="24"/>
          <w:rtl/>
        </w:rPr>
      </w:pPr>
    </w:p>
    <w:p w:rsidR="003262E1" w:rsidRDefault="003262E1" w:rsidP="003262E1">
      <w:pPr>
        <w:pStyle w:val="ae"/>
        <w:numPr>
          <w:ilvl w:val="0"/>
          <w:numId w:val="1"/>
        </w:numPr>
        <w:spacing w:after="120" w:line="360" w:lineRule="auto"/>
        <w:jc w:val="both"/>
        <w:rPr>
          <w:rFonts w:ascii="David" w:hAnsi="David" w:cs="David"/>
          <w:sz w:val="24"/>
          <w:szCs w:val="24"/>
          <w:rtl/>
        </w:rPr>
      </w:pPr>
      <w:r>
        <w:rPr>
          <w:rFonts w:ascii="David" w:hAnsi="David" w:cs="David"/>
          <w:sz w:val="24"/>
          <w:szCs w:val="24"/>
          <w:rtl/>
        </w:rPr>
        <w:t xml:space="preserve">אם כך, על בית המשפט כעת לבחון, בין היתר, האם קיימות ראיות מספקות לכאורה לקיומה של עילת התביעה והאם הסעד הזמני המבוקש נחוץ לצורך הגשמת המטרה. בנוסף, על בית המשפט להפעיל שיקולים של מאזן הנוחות, שיקולי מידתיות, תום ליבם של הצדדים ושיהוי בהגשת התביעה או הבקשה. </w:t>
      </w:r>
    </w:p>
    <w:p w:rsidR="003262E1" w:rsidRDefault="003262E1" w:rsidP="003262E1">
      <w:pPr>
        <w:pStyle w:val="ae"/>
        <w:spacing w:line="360" w:lineRule="auto"/>
        <w:jc w:val="both"/>
        <w:rPr>
          <w:rFonts w:ascii="David" w:hAnsi="David" w:cs="David"/>
          <w:sz w:val="24"/>
          <w:szCs w:val="24"/>
          <w:rtl/>
        </w:rPr>
      </w:pPr>
    </w:p>
    <w:p w:rsidR="003262E1" w:rsidRPr="00C911DC" w:rsidRDefault="003262E1" w:rsidP="003262E1">
      <w:pPr>
        <w:pStyle w:val="ae"/>
        <w:numPr>
          <w:ilvl w:val="0"/>
          <w:numId w:val="1"/>
        </w:numPr>
        <w:spacing w:after="120" w:line="360" w:lineRule="auto"/>
        <w:jc w:val="both"/>
        <w:rPr>
          <w:rFonts w:ascii="David" w:hAnsi="David" w:cs="David"/>
          <w:color w:val="000000" w:themeColor="text1"/>
          <w:sz w:val="24"/>
          <w:szCs w:val="24"/>
        </w:rPr>
      </w:pPr>
      <w:r>
        <w:rPr>
          <w:rFonts w:ascii="David" w:hAnsi="David" w:cs="David"/>
          <w:color w:val="000000" w:themeColor="text1"/>
          <w:sz w:val="24"/>
          <w:szCs w:val="24"/>
          <w:rtl/>
        </w:rPr>
        <w:t xml:space="preserve">בפסיקה שהתייחסה לתקנות סדר הדין האזרחי הקודמות נקבעה ההלכה בשורה ארוכה של פסקי דין, כי בין השיקול של סיכויי התביעה והשיקול של מאזן הנוחות מתקיים יחס המוכר כ"מקבילית הכוחות" ולפיו, ככל שסיכויי המבקש לזכות בהליך גבוהים יותר, כך ייטה בית </w:t>
      </w:r>
      <w:r w:rsidRPr="00C911DC">
        <w:rPr>
          <w:rFonts w:ascii="David" w:hAnsi="David" w:cs="David"/>
          <w:color w:val="000000" w:themeColor="text1"/>
          <w:sz w:val="24"/>
          <w:szCs w:val="24"/>
          <w:rtl/>
        </w:rPr>
        <w:t>משפט להקל בדרישת מאזן הנוחות ולהיפך (</w:t>
      </w:r>
      <w:hyperlink r:id="rId8" w:history="1">
        <w:r w:rsidRPr="00C911DC">
          <w:rPr>
            <w:rStyle w:val="Hyperlink"/>
            <w:rFonts w:ascii="David" w:hAnsi="David" w:cs="David" w:hint="cs"/>
            <w:color w:val="000000" w:themeColor="text1"/>
            <w:sz w:val="24"/>
            <w:szCs w:val="24"/>
            <w:u w:val="none"/>
            <w:rtl/>
          </w:rPr>
          <w:t>רע"א 9623/17</w:t>
        </w:r>
      </w:hyperlink>
      <w:r w:rsidRPr="00C911DC">
        <w:rPr>
          <w:rFonts w:ascii="David" w:hAnsi="David" w:cs="David" w:hint="cs"/>
          <w:color w:val="000000" w:themeColor="text1"/>
          <w:sz w:val="24"/>
          <w:szCs w:val="24"/>
          <w:rtl/>
        </w:rPr>
        <w:t> </w:t>
      </w:r>
      <w:r w:rsidRPr="00C911DC">
        <w:rPr>
          <w:rFonts w:ascii="David" w:hAnsi="David" w:cs="David" w:hint="cs"/>
          <w:b/>
          <w:bCs/>
          <w:color w:val="000000" w:themeColor="text1"/>
          <w:sz w:val="24"/>
          <w:szCs w:val="24"/>
          <w:rtl/>
        </w:rPr>
        <w:t>גבע נ' ורינט</w:t>
      </w:r>
      <w:r w:rsidRPr="00C911DC">
        <w:rPr>
          <w:rFonts w:ascii="David" w:hAnsi="David" w:cs="David" w:hint="cs"/>
          <w:color w:val="000000" w:themeColor="text1"/>
          <w:sz w:val="24"/>
          <w:szCs w:val="24"/>
          <w:rtl/>
        </w:rPr>
        <w:t xml:space="preserve"> מערכות בע"מ (נבו, ניתן ביום 23.1.2018); </w:t>
      </w:r>
      <w:hyperlink r:id="rId9" w:history="1">
        <w:r w:rsidRPr="00C911DC">
          <w:rPr>
            <w:rStyle w:val="Hyperlink"/>
            <w:rFonts w:ascii="David" w:hAnsi="David" w:cs="David" w:hint="cs"/>
            <w:color w:val="000000" w:themeColor="text1"/>
            <w:sz w:val="24"/>
            <w:szCs w:val="24"/>
            <w:u w:val="none"/>
            <w:rtl/>
          </w:rPr>
          <w:t>רע"א 2553/20</w:t>
        </w:r>
      </w:hyperlink>
      <w:r w:rsidRPr="00C911DC">
        <w:rPr>
          <w:rFonts w:ascii="David" w:hAnsi="David" w:cs="David" w:hint="cs"/>
          <w:color w:val="000000" w:themeColor="text1"/>
          <w:sz w:val="24"/>
          <w:szCs w:val="24"/>
          <w:rtl/>
        </w:rPr>
        <w:t> </w:t>
      </w:r>
      <w:r w:rsidRPr="00C911DC">
        <w:rPr>
          <w:rFonts w:ascii="David" w:hAnsi="David" w:cs="David" w:hint="cs"/>
          <w:b/>
          <w:bCs/>
          <w:color w:val="000000" w:themeColor="text1"/>
          <w:sz w:val="24"/>
          <w:szCs w:val="24"/>
          <w:rtl/>
        </w:rPr>
        <w:t>אביב נ' סמדג'ה</w:t>
      </w:r>
      <w:r w:rsidRPr="00C911DC">
        <w:rPr>
          <w:rFonts w:ascii="David" w:hAnsi="David" w:cs="David" w:hint="cs"/>
          <w:color w:val="000000" w:themeColor="text1"/>
          <w:sz w:val="24"/>
          <w:szCs w:val="24"/>
          <w:rtl/>
        </w:rPr>
        <w:t xml:space="preserve">, נבו ניתן ביום 7.6.2020); </w:t>
      </w:r>
      <w:hyperlink r:id="rId10" w:history="1">
        <w:r w:rsidRPr="00C911DC">
          <w:rPr>
            <w:rStyle w:val="Hyperlink"/>
            <w:rFonts w:ascii="David" w:hAnsi="David" w:cs="David" w:hint="cs"/>
            <w:color w:val="000000" w:themeColor="text1"/>
            <w:sz w:val="24"/>
            <w:szCs w:val="24"/>
            <w:u w:val="none"/>
            <w:rtl/>
          </w:rPr>
          <w:t>רע"א 8716/15</w:t>
        </w:r>
      </w:hyperlink>
      <w:r w:rsidRPr="00C911DC">
        <w:rPr>
          <w:rFonts w:ascii="David" w:hAnsi="David" w:cs="David"/>
          <w:color w:val="000000" w:themeColor="text1"/>
          <w:sz w:val="24"/>
          <w:szCs w:val="24"/>
        </w:rPr>
        <w:t> </w:t>
      </w:r>
      <w:r w:rsidRPr="00C911DC">
        <w:rPr>
          <w:rFonts w:ascii="David" w:hAnsi="David" w:cs="David"/>
          <w:b/>
          <w:bCs/>
          <w:color w:val="000000" w:themeColor="text1"/>
          <w:sz w:val="24"/>
          <w:szCs w:val="24"/>
          <w:rtl/>
        </w:rPr>
        <w:t xml:space="preserve">מימון נ' רייט </w:t>
      </w:r>
      <w:r w:rsidRPr="00C911DC">
        <w:rPr>
          <w:rFonts w:ascii="David" w:hAnsi="David" w:cs="David"/>
          <w:color w:val="000000" w:themeColor="text1"/>
          <w:sz w:val="24"/>
          <w:szCs w:val="24"/>
          <w:rtl/>
        </w:rPr>
        <w:t>(נבו, ניתן ביום 28.12.2015);</w:t>
      </w:r>
      <w:r w:rsidRPr="00C911DC">
        <w:rPr>
          <w:rFonts w:ascii="David" w:hAnsi="David" w:cs="David"/>
          <w:color w:val="000000" w:themeColor="text1"/>
          <w:sz w:val="24"/>
          <w:szCs w:val="24"/>
        </w:rPr>
        <w:t> </w:t>
      </w:r>
      <w:hyperlink r:id="rId11" w:history="1">
        <w:r w:rsidRPr="00C911DC">
          <w:rPr>
            <w:rStyle w:val="Hyperlink"/>
            <w:rFonts w:ascii="David" w:hAnsi="David" w:cs="David" w:hint="cs"/>
            <w:color w:val="000000" w:themeColor="text1"/>
            <w:sz w:val="24"/>
            <w:szCs w:val="24"/>
            <w:u w:val="none"/>
            <w:rtl/>
          </w:rPr>
          <w:t>רע"א 5841/11</w:t>
        </w:r>
      </w:hyperlink>
      <w:r w:rsidRPr="00C911DC">
        <w:rPr>
          <w:rFonts w:ascii="David" w:hAnsi="David" w:cs="David"/>
          <w:color w:val="000000" w:themeColor="text1"/>
          <w:sz w:val="24"/>
          <w:szCs w:val="24"/>
        </w:rPr>
        <w:t>  </w:t>
      </w:r>
      <w:r w:rsidRPr="00C911DC">
        <w:rPr>
          <w:rFonts w:ascii="David" w:hAnsi="David" w:cs="David"/>
          <w:b/>
          <w:bCs/>
          <w:color w:val="000000" w:themeColor="text1"/>
          <w:sz w:val="24"/>
          <w:szCs w:val="24"/>
          <w:rtl/>
        </w:rPr>
        <w:t xml:space="preserve">אקסלרוד נ' בנק מזרחי </w:t>
      </w:r>
      <w:r w:rsidRPr="00C911DC">
        <w:rPr>
          <w:rFonts w:ascii="David" w:hAnsi="David" w:cs="David"/>
          <w:color w:val="000000" w:themeColor="text1"/>
          <w:sz w:val="24"/>
          <w:szCs w:val="24"/>
          <w:rtl/>
        </w:rPr>
        <w:t xml:space="preserve">(נבו, ניתן ביום 20.9.2011). ואולם, "על המבקש לעמוד ברף מינימלי בנוגע לכל אחד מן </w:t>
      </w:r>
      <w:r w:rsidRPr="00C911DC">
        <w:rPr>
          <w:rFonts w:ascii="David" w:hAnsi="David" w:cs="David"/>
          <w:color w:val="000000" w:themeColor="text1"/>
          <w:sz w:val="24"/>
          <w:szCs w:val="24"/>
          <w:rtl/>
        </w:rPr>
        <w:lastRenderedPageBreak/>
        <w:t>התנאים בנפרד, שאם לא כן, לא יהיה מקום למתן סעד זמני..." (</w:t>
      </w:r>
      <w:hyperlink r:id="rId12" w:history="1">
        <w:r w:rsidRPr="00C911DC">
          <w:rPr>
            <w:rStyle w:val="Hyperlink"/>
            <w:rFonts w:ascii="David" w:hAnsi="David" w:cs="David" w:hint="cs"/>
            <w:color w:val="000000" w:themeColor="text1"/>
            <w:sz w:val="24"/>
            <w:szCs w:val="24"/>
            <w:u w:val="none"/>
            <w:rtl/>
          </w:rPr>
          <w:t>רע"א 3533/09</w:t>
        </w:r>
      </w:hyperlink>
      <w:r w:rsidRPr="00C911DC">
        <w:rPr>
          <w:rFonts w:ascii="David" w:hAnsi="David" w:cs="David" w:hint="cs"/>
          <w:color w:val="000000" w:themeColor="text1"/>
          <w:sz w:val="24"/>
          <w:szCs w:val="24"/>
          <w:rtl/>
        </w:rPr>
        <w:t> </w:t>
      </w:r>
      <w:r w:rsidRPr="00C911DC">
        <w:rPr>
          <w:rFonts w:ascii="David" w:hAnsi="David" w:cs="David" w:hint="cs"/>
          <w:b/>
          <w:bCs/>
          <w:color w:val="000000" w:themeColor="text1"/>
          <w:sz w:val="24"/>
          <w:szCs w:val="24"/>
          <w:rtl/>
        </w:rPr>
        <w:t>נציגות הבית המשותף נ' עיון</w:t>
      </w:r>
      <w:r w:rsidRPr="00C911DC">
        <w:rPr>
          <w:rFonts w:ascii="David" w:hAnsi="David" w:cs="David" w:hint="cs"/>
          <w:color w:val="000000" w:themeColor="text1"/>
          <w:sz w:val="24"/>
          <w:szCs w:val="24"/>
          <w:rtl/>
        </w:rPr>
        <w:t> (נבו, ניתן ביום 1.9.2009, פסקה 7).</w:t>
      </w:r>
    </w:p>
    <w:p w:rsidR="003262E1" w:rsidRPr="00C911DC" w:rsidRDefault="003262E1" w:rsidP="003262E1">
      <w:pPr>
        <w:pStyle w:val="ae"/>
        <w:spacing w:line="360" w:lineRule="auto"/>
        <w:jc w:val="both"/>
        <w:rPr>
          <w:rFonts w:ascii="David" w:hAnsi="David" w:cs="David"/>
          <w:sz w:val="24"/>
          <w:szCs w:val="24"/>
          <w:rtl/>
        </w:rPr>
      </w:pPr>
    </w:p>
    <w:p w:rsidR="003262E1" w:rsidRDefault="003262E1" w:rsidP="003262E1">
      <w:pPr>
        <w:pStyle w:val="ae"/>
        <w:spacing w:after="120" w:line="360" w:lineRule="auto"/>
        <w:jc w:val="both"/>
        <w:rPr>
          <w:rFonts w:ascii="David" w:hAnsi="David" w:cs="David"/>
          <w:sz w:val="24"/>
          <w:szCs w:val="24"/>
        </w:rPr>
      </w:pPr>
      <w:r>
        <w:rPr>
          <w:rFonts w:ascii="David" w:hAnsi="David" w:cs="David"/>
          <w:sz w:val="24"/>
          <w:szCs w:val="24"/>
          <w:rtl/>
        </w:rPr>
        <w:t xml:space="preserve">ליישום הדברים ביחס לתקנות החדשות ראו </w:t>
      </w:r>
      <w:r w:rsidR="00C911DC">
        <w:rPr>
          <w:rFonts w:ascii="David" w:hAnsi="David" w:cs="David" w:hint="cs"/>
          <w:sz w:val="24"/>
          <w:szCs w:val="24"/>
          <w:rtl/>
        </w:rPr>
        <w:t xml:space="preserve">למשל: </w:t>
      </w:r>
      <w:r>
        <w:rPr>
          <w:rFonts w:ascii="David" w:hAnsi="David" w:cs="David"/>
          <w:sz w:val="24"/>
          <w:szCs w:val="24"/>
          <w:rtl/>
        </w:rPr>
        <w:t xml:space="preserve">תא (חי') 30804-04-21‏‏ </w:t>
      </w:r>
      <w:r>
        <w:rPr>
          <w:rFonts w:ascii="David" w:hAnsi="David" w:cs="David"/>
          <w:b/>
          <w:bCs/>
          <w:sz w:val="24"/>
          <w:szCs w:val="24"/>
          <w:rtl/>
        </w:rPr>
        <w:t>דרדלוקס שיווק בע"מ  נ'  קדם</w:t>
      </w:r>
      <w:r>
        <w:rPr>
          <w:rFonts w:ascii="David" w:hAnsi="David" w:cs="David"/>
          <w:sz w:val="24"/>
          <w:szCs w:val="24"/>
          <w:rtl/>
        </w:rPr>
        <w:t xml:space="preserve"> ‏(2.6.2021); ורע"א (ת"א) 14030-11-20  </w:t>
      </w:r>
      <w:r>
        <w:rPr>
          <w:rFonts w:ascii="David" w:hAnsi="David" w:cs="David"/>
          <w:b/>
          <w:bCs/>
          <w:sz w:val="24"/>
          <w:szCs w:val="24"/>
          <w:rtl/>
        </w:rPr>
        <w:t>שהם נ' א.ר.א.ב. בונוס בע"מ</w:t>
      </w:r>
      <w:r>
        <w:rPr>
          <w:rFonts w:ascii="David" w:hAnsi="David" w:cs="David"/>
          <w:sz w:val="24"/>
          <w:szCs w:val="24"/>
          <w:rtl/>
        </w:rPr>
        <w:t xml:space="preserve"> (8.2.2021).</w:t>
      </w:r>
    </w:p>
    <w:p w:rsidR="003262E1" w:rsidRDefault="003262E1" w:rsidP="003262E1">
      <w:pPr>
        <w:pStyle w:val="ae"/>
        <w:spacing w:line="360" w:lineRule="auto"/>
        <w:jc w:val="both"/>
        <w:rPr>
          <w:rFonts w:ascii="David" w:hAnsi="David" w:cs="David"/>
          <w:sz w:val="24"/>
          <w:szCs w:val="24"/>
          <w:rtl/>
        </w:rPr>
      </w:pPr>
    </w:p>
    <w:p w:rsidR="003262E1" w:rsidRPr="00A84EEB" w:rsidRDefault="003262E1" w:rsidP="003262E1">
      <w:pPr>
        <w:pStyle w:val="ae"/>
        <w:spacing w:line="360" w:lineRule="auto"/>
        <w:jc w:val="both"/>
        <w:rPr>
          <w:rFonts w:ascii="David" w:hAnsi="David" w:cs="David"/>
          <w:b/>
          <w:bCs/>
          <w:sz w:val="24"/>
          <w:szCs w:val="24"/>
          <w:u w:val="single"/>
          <w:rtl/>
        </w:rPr>
      </w:pPr>
      <w:r w:rsidRPr="00A84EEB">
        <w:rPr>
          <w:rFonts w:ascii="David" w:hAnsi="David" w:cs="David"/>
          <w:b/>
          <w:bCs/>
          <w:sz w:val="24"/>
          <w:szCs w:val="24"/>
          <w:u w:val="single"/>
          <w:rtl/>
        </w:rPr>
        <w:t>סיכויי ההליך</w:t>
      </w:r>
    </w:p>
    <w:p w:rsidR="003262E1" w:rsidRDefault="003262E1" w:rsidP="003262E1">
      <w:pPr>
        <w:pStyle w:val="ae"/>
        <w:spacing w:line="360" w:lineRule="auto"/>
        <w:jc w:val="both"/>
        <w:rPr>
          <w:rFonts w:ascii="David" w:hAnsi="David" w:cs="David"/>
          <w:sz w:val="24"/>
          <w:szCs w:val="24"/>
          <w:rtl/>
        </w:rPr>
      </w:pPr>
    </w:p>
    <w:p w:rsidR="00E762FC" w:rsidRDefault="003262E1" w:rsidP="00E762FC">
      <w:pPr>
        <w:pStyle w:val="ae"/>
        <w:numPr>
          <w:ilvl w:val="0"/>
          <w:numId w:val="1"/>
        </w:numPr>
        <w:spacing w:line="360" w:lineRule="auto"/>
        <w:jc w:val="both"/>
        <w:rPr>
          <w:rFonts w:ascii="David" w:hAnsi="David" w:cs="David"/>
          <w:sz w:val="24"/>
          <w:szCs w:val="24"/>
        </w:rPr>
      </w:pPr>
      <w:r>
        <w:rPr>
          <w:rFonts w:ascii="David" w:hAnsi="David" w:cs="David"/>
          <w:sz w:val="24"/>
          <w:szCs w:val="24"/>
          <w:rtl/>
        </w:rPr>
        <w:t>במקרה דנן, קיימות טענות לכאן ולכאן בנושא הזכויות ביחידת המגורים שבמחלוקת שבה גרה המשיבה. המבקשים טוענים כי היחידה היא בבעלות המבקש והמשיבה פלשה ליחידה לאחר שבעבר הותר לה לגור בחלק מהנכס אך היא הסכימה לפנותו, מספר שבועות כנראה לפני ה</w:t>
      </w:r>
      <w:r w:rsidR="00E762FC">
        <w:rPr>
          <w:rFonts w:ascii="David" w:hAnsi="David" w:cs="David" w:hint="cs"/>
          <w:sz w:val="24"/>
          <w:szCs w:val="24"/>
          <w:rtl/>
        </w:rPr>
        <w:t>פ</w:t>
      </w:r>
      <w:r>
        <w:rPr>
          <w:rFonts w:ascii="David" w:hAnsi="David" w:cs="David"/>
          <w:sz w:val="24"/>
          <w:szCs w:val="24"/>
          <w:rtl/>
        </w:rPr>
        <w:t>לישה הנטענת ליחידה. המשיבה טוענת מנגד</w:t>
      </w:r>
      <w:r w:rsidR="00E762FC">
        <w:rPr>
          <w:rFonts w:ascii="David" w:hAnsi="David" w:cs="David" w:hint="cs"/>
          <w:sz w:val="24"/>
          <w:szCs w:val="24"/>
          <w:rtl/>
        </w:rPr>
        <w:t>,</w:t>
      </w:r>
      <w:r>
        <w:rPr>
          <w:rFonts w:ascii="David" w:hAnsi="David" w:cs="David"/>
          <w:sz w:val="24"/>
          <w:szCs w:val="24"/>
          <w:rtl/>
        </w:rPr>
        <w:t xml:space="preserve"> כי מדובר ביחידה שבה אין למבקש זכויות וגם לא למבקשת 2 שגרה ביחידת מגורים נפרדת משלה, וכי היחידה שבה גרה המשיבה היא שלה</w:t>
      </w:r>
      <w:r w:rsidR="00E762FC">
        <w:rPr>
          <w:rFonts w:ascii="David" w:hAnsi="David" w:cs="David" w:hint="cs"/>
          <w:sz w:val="24"/>
          <w:szCs w:val="24"/>
          <w:rtl/>
        </w:rPr>
        <w:t>,</w:t>
      </w:r>
      <w:r>
        <w:rPr>
          <w:rFonts w:ascii="David" w:hAnsi="David" w:cs="David"/>
          <w:sz w:val="24"/>
          <w:szCs w:val="24"/>
          <w:rtl/>
        </w:rPr>
        <w:t xml:space="preserve"> </w:t>
      </w:r>
      <w:r w:rsidR="00E762FC">
        <w:rPr>
          <w:rFonts w:ascii="David" w:hAnsi="David" w:cs="David" w:hint="cs"/>
          <w:sz w:val="24"/>
          <w:szCs w:val="24"/>
          <w:rtl/>
        </w:rPr>
        <w:t>והיא חלק מ</w:t>
      </w:r>
      <w:r>
        <w:rPr>
          <w:rFonts w:ascii="David" w:hAnsi="David" w:cs="David"/>
          <w:sz w:val="24"/>
          <w:szCs w:val="24"/>
          <w:rtl/>
        </w:rPr>
        <w:t xml:space="preserve">חלקה בעזבון הורי הצדדים. </w:t>
      </w:r>
    </w:p>
    <w:p w:rsidR="00E762FC" w:rsidRDefault="00E762FC" w:rsidP="00E762FC">
      <w:pPr>
        <w:pStyle w:val="ae"/>
        <w:spacing w:line="360" w:lineRule="auto"/>
        <w:jc w:val="both"/>
        <w:rPr>
          <w:rFonts w:ascii="David" w:hAnsi="David" w:cs="David"/>
          <w:sz w:val="24"/>
          <w:szCs w:val="24"/>
        </w:rPr>
      </w:pPr>
    </w:p>
    <w:p w:rsidR="003262E1" w:rsidRDefault="003262E1" w:rsidP="00E762FC">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יפוי הכוח הבלתי חוזר שצורף לבקשה לתמיכה בטענת הבעלות של המבקש אינו מפרט את נושא יחידת הדיור או יחידות הדיור, וכך גם הסכם השכירות שצורף לבקשה, </w:t>
      </w:r>
      <w:r w:rsidR="00E762FC">
        <w:rPr>
          <w:rFonts w:ascii="David" w:hAnsi="David" w:cs="David" w:hint="cs"/>
          <w:sz w:val="24"/>
          <w:szCs w:val="24"/>
          <w:rtl/>
        </w:rPr>
        <w:t xml:space="preserve">כך שאין בהם כדי להועיל בשלב זה, </w:t>
      </w:r>
      <w:r>
        <w:rPr>
          <w:rFonts w:ascii="David" w:hAnsi="David" w:cs="David"/>
          <w:sz w:val="24"/>
          <w:szCs w:val="24"/>
          <w:rtl/>
        </w:rPr>
        <w:t>ומה גם שטענת המשיבה היא שהמסמכים פיקטיביים.</w:t>
      </w:r>
    </w:p>
    <w:p w:rsidR="003262E1" w:rsidRPr="00E762FC"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 קיימות טענות לכאן ולכאן גם בשאלה ממתי גרה המשיבה ביחידת המגורים או בחלק ממנה. המבקשים טוענים כי מדובר בתקופה קצרה שקדמה להגשת הבקשה ואילו המשיבה טוענת כי היא גרה בת מאז שנת 2016 ברצף ביחידה וקודם לכן גרה בה מאז לידתה.</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במצב הדברים הקיים, </w:t>
      </w:r>
      <w:r w:rsidR="00E762FC">
        <w:rPr>
          <w:rFonts w:ascii="David" w:hAnsi="David" w:cs="David" w:hint="cs"/>
          <w:sz w:val="24"/>
          <w:szCs w:val="24"/>
          <w:rtl/>
        </w:rPr>
        <w:t xml:space="preserve">כאשר קיימת מחלוקת בין הצדדים לגבי הזכויות ביחידת המגורים, ובהינתן האמור לעיל, </w:t>
      </w:r>
      <w:r>
        <w:rPr>
          <w:rFonts w:ascii="David" w:hAnsi="David" w:cs="David"/>
          <w:sz w:val="24"/>
          <w:szCs w:val="24"/>
          <w:rtl/>
        </w:rPr>
        <w:t>אין לומר כי סיכויי המבקשים להוכיח את תביעתם בשלב זה גבוהים יותר מסיכויי טענות ההגנה להתקבל.</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b/>
          <w:bCs/>
          <w:sz w:val="24"/>
          <w:szCs w:val="24"/>
          <w:u w:val="single"/>
          <w:rtl/>
        </w:rPr>
      </w:pPr>
      <w:r>
        <w:rPr>
          <w:rFonts w:ascii="David" w:hAnsi="David" w:cs="David"/>
          <w:b/>
          <w:bCs/>
          <w:sz w:val="24"/>
          <w:szCs w:val="24"/>
          <w:u w:val="single"/>
          <w:rtl/>
        </w:rPr>
        <w:t>מאזן הנוחות</w:t>
      </w:r>
    </w:p>
    <w:p w:rsidR="003262E1" w:rsidRDefault="003262E1" w:rsidP="003262E1">
      <w:pPr>
        <w:pStyle w:val="ae"/>
        <w:numPr>
          <w:ilvl w:val="0"/>
          <w:numId w:val="1"/>
        </w:numPr>
        <w:spacing w:line="360" w:lineRule="auto"/>
        <w:jc w:val="both"/>
        <w:rPr>
          <w:rFonts w:ascii="David" w:hAnsi="David" w:cs="David"/>
          <w:sz w:val="24"/>
          <w:szCs w:val="24"/>
          <w:rtl/>
        </w:rPr>
      </w:pPr>
      <w:r>
        <w:rPr>
          <w:rFonts w:ascii="David" w:hAnsi="David" w:cs="David"/>
          <w:sz w:val="24"/>
          <w:szCs w:val="24"/>
          <w:rtl/>
        </w:rPr>
        <w:t>סבורתני כי מאזן הנוחות במקרה דנן נוטה לטובת המשיבה.</w:t>
      </w:r>
    </w:p>
    <w:p w:rsidR="003262E1" w:rsidRDefault="003262E1" w:rsidP="003262E1">
      <w:pPr>
        <w:pStyle w:val="ae"/>
        <w:spacing w:line="360" w:lineRule="auto"/>
        <w:jc w:val="both"/>
        <w:rPr>
          <w:rFonts w:ascii="David" w:hAnsi="David" w:cs="David"/>
          <w:sz w:val="24"/>
          <w:szCs w:val="24"/>
        </w:rPr>
      </w:pPr>
    </w:p>
    <w:p w:rsidR="003262E1" w:rsidRDefault="003262E1" w:rsidP="00E762FC">
      <w:pPr>
        <w:pStyle w:val="ae"/>
        <w:numPr>
          <w:ilvl w:val="0"/>
          <w:numId w:val="1"/>
        </w:numPr>
        <w:spacing w:line="360" w:lineRule="auto"/>
        <w:jc w:val="both"/>
        <w:rPr>
          <w:rFonts w:ascii="David" w:hAnsi="David" w:cs="David"/>
          <w:sz w:val="24"/>
          <w:szCs w:val="24"/>
        </w:rPr>
      </w:pPr>
      <w:r>
        <w:rPr>
          <w:rFonts w:ascii="David" w:hAnsi="David" w:cs="David"/>
          <w:sz w:val="24"/>
          <w:szCs w:val="24"/>
          <w:rtl/>
        </w:rPr>
        <w:t>המשיבה גרה ביחידת המגורים שבמחלוקת, והנזק עבורה הכרוך בפינוי בשלב זה מהיחידה גדול מהנזק שיגרם למבקשים</w:t>
      </w:r>
      <w:r w:rsidR="00E762FC">
        <w:rPr>
          <w:rFonts w:ascii="David" w:hAnsi="David" w:cs="David" w:hint="cs"/>
          <w:sz w:val="24"/>
          <w:szCs w:val="24"/>
          <w:rtl/>
        </w:rPr>
        <w:t xml:space="preserve">, </w:t>
      </w:r>
      <w:r>
        <w:rPr>
          <w:rFonts w:ascii="David" w:hAnsi="David" w:cs="David"/>
          <w:sz w:val="24"/>
          <w:szCs w:val="24"/>
          <w:rtl/>
        </w:rPr>
        <w:t xml:space="preserve">אם היא תפונה רק בסוף ההליך ככל והם יוכיחו את תביעתם, </w:t>
      </w:r>
      <w:r w:rsidR="00E762FC">
        <w:rPr>
          <w:rFonts w:ascii="David" w:hAnsi="David" w:cs="David" w:hint="cs"/>
          <w:sz w:val="24"/>
          <w:szCs w:val="24"/>
          <w:rtl/>
        </w:rPr>
        <w:t>שכן עסקינן בפינוי מבית מגורים, על כל הכרוך בכך;</w:t>
      </w:r>
      <w:r w:rsidR="00E762FC">
        <w:rPr>
          <w:rFonts w:ascii="David" w:hAnsi="David" w:cs="David" w:hint="cs"/>
          <w:sz w:val="24"/>
          <w:szCs w:val="24"/>
        </w:rPr>
        <w:t xml:space="preserve"> </w:t>
      </w:r>
      <w:r>
        <w:rPr>
          <w:rFonts w:ascii="David" w:hAnsi="David" w:cs="David"/>
          <w:sz w:val="24"/>
          <w:szCs w:val="24"/>
          <w:rtl/>
        </w:rPr>
        <w:t>כאשר בכל מקרה, יהיה בידם לעתור לדמי שימוש בגין השימוש ביחידה, ככל ואכן יוכיחו תביעתם.</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b/>
          <w:bCs/>
          <w:sz w:val="24"/>
          <w:szCs w:val="24"/>
          <w:u w:val="single"/>
          <w:rtl/>
        </w:rPr>
      </w:pPr>
      <w:r>
        <w:rPr>
          <w:rFonts w:ascii="David" w:hAnsi="David" w:cs="David"/>
          <w:b/>
          <w:bCs/>
          <w:sz w:val="24"/>
          <w:szCs w:val="24"/>
          <w:u w:val="single"/>
          <w:rtl/>
        </w:rPr>
        <w:t>שיקולי תום לב</w:t>
      </w:r>
    </w:p>
    <w:p w:rsidR="003262E1" w:rsidRDefault="003262E1" w:rsidP="00E762FC">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סבורתני כי צודקת המשיבה בטענתה כי המבקשים פעלו בחוסר תום לב כאשר לא גילו בבקשתם, במקום שבו נדרש גילוי, את דבר </w:t>
      </w:r>
      <w:r w:rsidR="00E762FC">
        <w:rPr>
          <w:rFonts w:ascii="David" w:hAnsi="David" w:cs="David" w:hint="cs"/>
          <w:sz w:val="24"/>
          <w:szCs w:val="24"/>
          <w:rtl/>
        </w:rPr>
        <w:t xml:space="preserve">דחיית </w:t>
      </w:r>
      <w:r>
        <w:rPr>
          <w:rFonts w:ascii="David" w:hAnsi="David" w:cs="David"/>
          <w:sz w:val="24"/>
          <w:szCs w:val="24"/>
          <w:rtl/>
        </w:rPr>
        <w:t xml:space="preserve">בקשתם לצו הגנה נגד המשיבה בגין אירועי האלימות הנטענים </w:t>
      </w:r>
      <w:r w:rsidR="00E762FC">
        <w:rPr>
          <w:rFonts w:ascii="David" w:hAnsi="David" w:cs="David" w:hint="cs"/>
          <w:sz w:val="24"/>
          <w:szCs w:val="24"/>
          <w:rtl/>
        </w:rPr>
        <w:t xml:space="preserve">לכאורה גם </w:t>
      </w:r>
      <w:r>
        <w:rPr>
          <w:rFonts w:ascii="David" w:hAnsi="David" w:cs="David"/>
          <w:sz w:val="24"/>
          <w:szCs w:val="24"/>
          <w:rtl/>
        </w:rPr>
        <w:t>בבקשה, ובפרט שעה שהבקשה לצו הגנה נדחתה לאחר דיון והמבקשים אף חויבו בהוצאות ראו החלטה מיום 1.10.24 בתיק ה"ט 66428-09-24).</w:t>
      </w:r>
    </w:p>
    <w:p w:rsidR="003262E1" w:rsidRDefault="003262E1" w:rsidP="003262E1">
      <w:pPr>
        <w:pStyle w:val="ae"/>
        <w:spacing w:line="360" w:lineRule="auto"/>
        <w:jc w:val="both"/>
        <w:rPr>
          <w:rFonts w:ascii="David" w:hAnsi="David" w:cs="David"/>
          <w:sz w:val="24"/>
          <w:szCs w:val="24"/>
        </w:rPr>
      </w:pPr>
    </w:p>
    <w:p w:rsidR="00A84EEB" w:rsidRPr="00A84EEB" w:rsidRDefault="003262E1" w:rsidP="00A84EEB">
      <w:pPr>
        <w:pStyle w:val="ae"/>
        <w:spacing w:line="360" w:lineRule="auto"/>
        <w:jc w:val="both"/>
        <w:rPr>
          <w:rFonts w:ascii="David" w:hAnsi="David" w:cs="David"/>
          <w:b/>
          <w:bCs/>
          <w:sz w:val="24"/>
          <w:szCs w:val="24"/>
          <w:u w:val="single"/>
        </w:rPr>
      </w:pPr>
      <w:r>
        <w:rPr>
          <w:rFonts w:ascii="David" w:hAnsi="David" w:cs="David"/>
          <w:b/>
          <w:bCs/>
          <w:sz w:val="24"/>
          <w:szCs w:val="24"/>
          <w:u w:val="single"/>
          <w:rtl/>
        </w:rPr>
        <w:t>סעד זמני זהה לסעד עיקרי וצו עשה זמני</w:t>
      </w:r>
    </w:p>
    <w:p w:rsidR="003262E1" w:rsidRDefault="003262E1" w:rsidP="0097584C">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בנוסף למכלול האמור לעיל, דין הבקשה להדחות גם מהטעם שהסעד הזמני שלו עותרים המבקשים זהה לסעד העיקרי בכתב תביעתם. הלכה פסוקה היא כי לא נהוג ליתן סעד זמני הזהה לסעד העיקרי המבוקש שכן אם יינתן הצו הזמני - יתייתר הדיון בתביעה העיקרית. </w:t>
      </w:r>
      <w:r w:rsidR="0097584C">
        <w:rPr>
          <w:rFonts w:ascii="David" w:hAnsi="David" w:cs="David" w:hint="cs"/>
          <w:sz w:val="24"/>
          <w:szCs w:val="24"/>
          <w:rtl/>
        </w:rPr>
        <w:t xml:space="preserve">ברגיל, </w:t>
      </w:r>
      <w:r>
        <w:rPr>
          <w:rFonts w:ascii="David" w:hAnsi="David" w:cs="David"/>
          <w:sz w:val="24"/>
          <w:szCs w:val="24"/>
          <w:rtl/>
        </w:rPr>
        <w:t>די ב</w:t>
      </w:r>
      <w:r w:rsidR="0097584C">
        <w:rPr>
          <w:rFonts w:ascii="David" w:hAnsi="David" w:cs="David" w:hint="cs"/>
          <w:sz w:val="24"/>
          <w:szCs w:val="24"/>
          <w:rtl/>
        </w:rPr>
        <w:t xml:space="preserve">זהות הסעד כאמור </w:t>
      </w:r>
      <w:r>
        <w:rPr>
          <w:rFonts w:ascii="David" w:hAnsi="David" w:cs="David"/>
          <w:sz w:val="24"/>
          <w:szCs w:val="24"/>
          <w:rtl/>
        </w:rPr>
        <w:t xml:space="preserve">כדי לסכל את האפשרות להיענות לבקשה לסעד זמני (ראו למשל: רע"א 6203/20 </w:t>
      </w:r>
      <w:r>
        <w:rPr>
          <w:rFonts w:ascii="David" w:hAnsi="David" w:cs="David"/>
          <w:b/>
          <w:bCs/>
          <w:sz w:val="24"/>
          <w:szCs w:val="24"/>
          <w:rtl/>
        </w:rPr>
        <w:t>י.ע.ז חברה לבניה ופיתוח נגד רפאל מערכות לחימה מתקדמות בע"מ</w:t>
      </w:r>
      <w:r>
        <w:rPr>
          <w:rFonts w:ascii="David" w:hAnsi="David" w:cs="David"/>
          <w:sz w:val="24"/>
          <w:szCs w:val="24"/>
          <w:rtl/>
        </w:rPr>
        <w:t xml:space="preserve">, נבו, ניתן ביום 10.9.20). </w:t>
      </w:r>
    </w:p>
    <w:p w:rsidR="003262E1" w:rsidRDefault="003262E1" w:rsidP="003262E1">
      <w:pPr>
        <w:pStyle w:val="ae"/>
        <w:spacing w:line="360" w:lineRule="auto"/>
        <w:jc w:val="both"/>
        <w:rPr>
          <w:rFonts w:ascii="David" w:hAnsi="David" w:cs="David"/>
          <w:sz w:val="24"/>
          <w:szCs w:val="24"/>
        </w:rPr>
      </w:pPr>
    </w:p>
    <w:p w:rsidR="003262E1" w:rsidRDefault="003262E1" w:rsidP="0097584C">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לא זו אף זו, הסעד המבוקש אינו צו מניעה זמני, </w:t>
      </w:r>
      <w:r w:rsidR="0097584C">
        <w:rPr>
          <w:rFonts w:ascii="David" w:hAnsi="David" w:cs="David" w:hint="cs"/>
          <w:sz w:val="24"/>
          <w:szCs w:val="24"/>
          <w:rtl/>
        </w:rPr>
        <w:t xml:space="preserve">כנטען ברישת הבקשה, כי אם </w:t>
      </w:r>
      <w:r>
        <w:rPr>
          <w:rFonts w:ascii="David" w:hAnsi="David" w:cs="David"/>
          <w:sz w:val="24"/>
          <w:szCs w:val="24"/>
          <w:rtl/>
        </w:rPr>
        <w:t xml:space="preserve">צו עשה זמני, שכן מבוקש לפנות את המשיבה מיחידת המגורים, דהיינו לשנות מצב קיים. ברם, צו עשה זמני ינתן רק כאשר קיים חשש ממשי מפני תוצאה בלתי הפיכה אם לא ינתן הסעד המבוקש (ראו: </w:t>
      </w:r>
      <w:r>
        <w:rPr>
          <w:rFonts w:ascii="David" w:eastAsia="Calibri" w:hAnsi="David" w:cs="David"/>
          <w:sz w:val="24"/>
          <w:szCs w:val="24"/>
          <w:rtl/>
        </w:rPr>
        <w:t xml:space="preserve">רע"א 1499/20 </w:t>
      </w:r>
      <w:r>
        <w:rPr>
          <w:rFonts w:ascii="David" w:eastAsia="Calibri" w:hAnsi="David" w:cs="David"/>
          <w:b/>
          <w:bCs/>
          <w:sz w:val="24"/>
          <w:szCs w:val="24"/>
          <w:rtl/>
        </w:rPr>
        <w:t>מרקעי תקשורת בע"מ נ' אריה בר</w:t>
      </w:r>
      <w:r>
        <w:rPr>
          <w:rFonts w:ascii="David" w:eastAsia="Calibri" w:hAnsi="David" w:cs="David"/>
          <w:sz w:val="24"/>
          <w:szCs w:val="24"/>
          <w:rtl/>
        </w:rPr>
        <w:t xml:space="preserve"> (25.05.2020) בפסקה 21).</w:t>
      </w:r>
    </w:p>
    <w:p w:rsidR="003262E1" w:rsidRDefault="003262E1" w:rsidP="003262E1">
      <w:pPr>
        <w:pStyle w:val="ae"/>
        <w:spacing w:line="360" w:lineRule="auto"/>
        <w:jc w:val="both"/>
        <w:rPr>
          <w:rFonts w:ascii="David" w:hAnsi="David" w:cs="David"/>
          <w:sz w:val="24"/>
          <w:szCs w:val="24"/>
        </w:rPr>
      </w:pPr>
    </w:p>
    <w:p w:rsidR="003262E1" w:rsidRDefault="003262E1" w:rsidP="003262E1">
      <w:pPr>
        <w:pStyle w:val="ae"/>
        <w:spacing w:line="360" w:lineRule="auto"/>
        <w:jc w:val="both"/>
        <w:rPr>
          <w:rFonts w:ascii="David" w:hAnsi="David" w:cs="David"/>
          <w:b/>
          <w:bCs/>
          <w:sz w:val="24"/>
          <w:szCs w:val="24"/>
          <w:u w:val="single"/>
          <w:rtl/>
        </w:rPr>
      </w:pPr>
      <w:r>
        <w:rPr>
          <w:rFonts w:ascii="David" w:hAnsi="David" w:cs="David"/>
          <w:b/>
          <w:bCs/>
          <w:sz w:val="24"/>
          <w:szCs w:val="24"/>
          <w:u w:val="single"/>
          <w:rtl/>
        </w:rPr>
        <w:t>סיכום</w:t>
      </w: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לנוכח מכלול האמור, הבקשה נדחית.</w:t>
      </w:r>
    </w:p>
    <w:p w:rsidR="0097584C" w:rsidRDefault="0097584C" w:rsidP="0097584C">
      <w:pPr>
        <w:pStyle w:val="ae"/>
        <w:spacing w:line="360" w:lineRule="auto"/>
        <w:jc w:val="both"/>
        <w:rPr>
          <w:rFonts w:ascii="David" w:hAnsi="David" w:cs="David"/>
          <w:sz w:val="24"/>
          <w:szCs w:val="24"/>
          <w:rtl/>
        </w:rPr>
      </w:pPr>
    </w:p>
    <w:p w:rsidR="003262E1" w:rsidRDefault="003262E1" w:rsidP="003262E1">
      <w:pPr>
        <w:pStyle w:val="ae"/>
        <w:numPr>
          <w:ilvl w:val="0"/>
          <w:numId w:val="1"/>
        </w:numPr>
        <w:spacing w:line="360" w:lineRule="auto"/>
        <w:jc w:val="both"/>
        <w:rPr>
          <w:rFonts w:ascii="David" w:hAnsi="David" w:cs="David"/>
          <w:sz w:val="24"/>
          <w:szCs w:val="24"/>
        </w:rPr>
      </w:pPr>
      <w:r>
        <w:rPr>
          <w:rFonts w:ascii="David" w:hAnsi="David" w:cs="David"/>
          <w:sz w:val="24"/>
          <w:szCs w:val="24"/>
          <w:rtl/>
        </w:rPr>
        <w:t>המבקשים יש</w:t>
      </w:r>
      <w:r w:rsidR="0097584C">
        <w:rPr>
          <w:rFonts w:ascii="David" w:hAnsi="David" w:cs="David"/>
          <w:sz w:val="24"/>
          <w:szCs w:val="24"/>
          <w:rtl/>
        </w:rPr>
        <w:t>למו למשיבה הוצאות משפט ושכ"ט עו</w:t>
      </w:r>
      <w:r w:rsidR="0097584C">
        <w:rPr>
          <w:rFonts w:ascii="David" w:hAnsi="David" w:cs="David" w:hint="cs"/>
          <w:sz w:val="24"/>
          <w:szCs w:val="24"/>
          <w:rtl/>
        </w:rPr>
        <w:t>"</w:t>
      </w:r>
      <w:r>
        <w:rPr>
          <w:rFonts w:ascii="David" w:hAnsi="David" w:cs="David"/>
          <w:sz w:val="24"/>
          <w:szCs w:val="24"/>
          <w:rtl/>
        </w:rPr>
        <w:t>ד בסך של 3,000 ₪ בתוך 30 ימים, שאם לא כן, ישא סכום זה הפרשי הצמדה וריבית כחוק עד לתשלום בפועל.</w:t>
      </w:r>
    </w:p>
    <w:p w:rsidR="0097584C" w:rsidRPr="0097584C" w:rsidRDefault="0097584C" w:rsidP="0097584C">
      <w:pPr>
        <w:pStyle w:val="ae"/>
        <w:rPr>
          <w:rFonts w:ascii="David" w:hAnsi="David" w:cs="David"/>
          <w:sz w:val="24"/>
          <w:szCs w:val="24"/>
          <w:rtl/>
        </w:rPr>
      </w:pPr>
    </w:p>
    <w:p w:rsidR="0097584C" w:rsidRDefault="0097584C" w:rsidP="003262E1">
      <w:pPr>
        <w:pStyle w:val="ae"/>
        <w:numPr>
          <w:ilvl w:val="0"/>
          <w:numId w:val="1"/>
        </w:numPr>
        <w:spacing w:line="360" w:lineRule="auto"/>
        <w:jc w:val="both"/>
        <w:rPr>
          <w:rFonts w:ascii="David" w:hAnsi="David" w:cs="David"/>
          <w:sz w:val="24"/>
          <w:szCs w:val="24"/>
        </w:rPr>
      </w:pPr>
      <w:r>
        <w:rPr>
          <w:rFonts w:ascii="David" w:hAnsi="David" w:cs="David" w:hint="cs"/>
          <w:sz w:val="24"/>
          <w:szCs w:val="24"/>
          <w:rtl/>
        </w:rPr>
        <w:t>ההחלטה תפורסם בכפוף להשמטת פרטים מזהים של הצדדים.</w:t>
      </w:r>
    </w:p>
    <w:p w:rsidR="002914D6" w:rsidRPr="0097584C"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ד' כסלו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05 דצמבר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911915352"/>
        </w:sdtPr>
        <w:sdtEndPr/>
        <w:sdtContent>
          <w:r w:rsidR="00A84EEB">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432" w:rsidRDefault="00866432">
      <w:r>
        <w:separator/>
      </w:r>
    </w:p>
  </w:endnote>
  <w:endnote w:type="continuationSeparator" w:id="0">
    <w:p w:rsidR="00866432" w:rsidRDefault="0086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16" w:rsidRDefault="00E0391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B442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B4421">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16" w:rsidRDefault="00E0391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432" w:rsidRDefault="00866432">
      <w:r>
        <w:separator/>
      </w:r>
    </w:p>
  </w:footnote>
  <w:footnote w:type="continuationSeparator" w:id="0">
    <w:p w:rsidR="00866432" w:rsidRDefault="0086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16" w:rsidRDefault="00E039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05 דצמבר 2024</w:t>
              </w:r>
            </w:p>
          </w:tc>
        </w:sdtContent>
      </w:sdt>
    </w:tr>
    <w:tr w:rsidR="002914D6">
      <w:trPr>
        <w:trHeight w:val="337"/>
        <w:jc w:val="center"/>
      </w:trPr>
      <w:tc>
        <w:tcPr>
          <w:tcW w:w="8721" w:type="dxa"/>
          <w:gridSpan w:val="2"/>
        </w:tcPr>
        <w:p w:rsidR="002914D6" w:rsidRDefault="00866432" w:rsidP="00A84EE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61551-10-24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A84EEB">
                <w:rPr>
                  <w:rFonts w:hint="cs"/>
                  <w:b/>
                  <w:bCs/>
                  <w:noProof w:val="0"/>
                  <w:sz w:val="26"/>
                  <w:szCs w:val="26"/>
                  <w:rtl/>
                </w:rPr>
                <w:t>האחים</w:t>
              </w:r>
              <w:r w:rsidR="00CC29C2">
                <w:rPr>
                  <w:b/>
                  <w:bCs/>
                  <w:noProof w:val="0"/>
                  <w:sz w:val="26"/>
                  <w:szCs w:val="26"/>
                  <w:rtl/>
                </w:rPr>
                <w:t xml:space="preserve"> נ' </w:t>
              </w:r>
              <w:r w:rsidR="00A84EEB">
                <w:rPr>
                  <w:rFonts w:hint="cs"/>
                  <w:b/>
                  <w:bCs/>
                  <w:noProof w:val="0"/>
                  <w:sz w:val="26"/>
                  <w:szCs w:val="26"/>
                  <w:rtl/>
                </w:rPr>
                <w:t>האחות</w:t>
              </w:r>
            </w:sdtContent>
          </w:sdt>
        </w:p>
        <w:p w:rsidR="002914D6" w:rsidRDefault="002914D6">
          <w:pPr>
            <w:rPr>
              <w:rtl/>
            </w:rPr>
          </w:pPr>
        </w:p>
        <w:p w:rsidR="00E03E52" w:rsidRDefault="00E03E52">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16" w:rsidRDefault="00E039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F6756"/>
    <w:multiLevelType w:val="hybridMultilevel"/>
    <w:tmpl w:val="7BA864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4058F"/>
    <w:rsid w:val="0019474B"/>
    <w:rsid w:val="00273D47"/>
    <w:rsid w:val="002856D3"/>
    <w:rsid w:val="002914D6"/>
    <w:rsid w:val="002B4421"/>
    <w:rsid w:val="002F5307"/>
    <w:rsid w:val="003262E1"/>
    <w:rsid w:val="003A0652"/>
    <w:rsid w:val="004F4787"/>
    <w:rsid w:val="00530E94"/>
    <w:rsid w:val="00593D6A"/>
    <w:rsid w:val="005E66BB"/>
    <w:rsid w:val="00722E16"/>
    <w:rsid w:val="00822AA5"/>
    <w:rsid w:val="00866432"/>
    <w:rsid w:val="00904FA7"/>
    <w:rsid w:val="00921E03"/>
    <w:rsid w:val="0097584C"/>
    <w:rsid w:val="009A04C9"/>
    <w:rsid w:val="009D1711"/>
    <w:rsid w:val="00A7661B"/>
    <w:rsid w:val="00A84EEB"/>
    <w:rsid w:val="00B234CE"/>
    <w:rsid w:val="00B31305"/>
    <w:rsid w:val="00C911DC"/>
    <w:rsid w:val="00CC29C2"/>
    <w:rsid w:val="00CE7F78"/>
    <w:rsid w:val="00DA714E"/>
    <w:rsid w:val="00E03916"/>
    <w:rsid w:val="00E03E52"/>
    <w:rsid w:val="00E72C9F"/>
    <w:rsid w:val="00E762FC"/>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uiPriority w:val="99"/>
    <w:semiHidden/>
    <w:unhideWhenUsed/>
    <w:rsid w:val="003262E1"/>
    <w:rPr>
      <w:color w:val="0000FF"/>
      <w:u w:val="single"/>
    </w:rPr>
  </w:style>
  <w:style w:type="paragraph" w:styleId="ae">
    <w:name w:val="List Paragraph"/>
    <w:basedOn w:val="a"/>
    <w:uiPriority w:val="34"/>
    <w:qFormat/>
    <w:rsid w:val="003262E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816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3506951"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case/590129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03616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2080626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26604069"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1265</Words>
  <Characters>6327</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2025-01-05T07:35:00Z</dcterms:created>
  <dcterms:modified xsi:type="dcterms:W3CDTF">2025-01-05T07:35:00Z</dcterms:modified>
</cp:coreProperties>
</file>